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44"/>
        </w:rPr>
      </w:pP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2022年度</w:t>
      </w:r>
      <w:r>
        <w:rPr>
          <w:rFonts w:hint="eastAsia" w:ascii="方正小标宋简体" w:eastAsia="方正小标宋简体"/>
          <w:sz w:val="44"/>
          <w:szCs w:val="44"/>
          <w:lang w:eastAsia="zh-CN"/>
        </w:rPr>
        <w:t>个人</w:t>
      </w:r>
      <w:r>
        <w:rPr>
          <w:rFonts w:hint="eastAsia" w:ascii="方正小标宋简体" w:eastAsia="方正小标宋简体"/>
          <w:sz w:val="44"/>
          <w:szCs w:val="44"/>
        </w:rPr>
        <w:t>述职报告</w:t>
      </w:r>
    </w:p>
    <w:p>
      <w:pPr>
        <w:spacing w:line="700" w:lineRule="exact"/>
        <w:jc w:val="center"/>
        <w:rPr>
          <w:rFonts w:ascii="楷体" w:hAnsi="楷体" w:eastAsia="楷体"/>
          <w:sz w:val="32"/>
          <w:szCs w:val="32"/>
        </w:rPr>
      </w:pPr>
      <w:r>
        <w:rPr>
          <w:rFonts w:hint="eastAsia" w:ascii="楷体" w:hAnsi="楷体" w:eastAsia="楷体"/>
          <w:sz w:val="32"/>
          <w:szCs w:val="32"/>
        </w:rPr>
        <w:t>省公共资源交易中心党组成员、副主任  聂磊</w:t>
      </w:r>
    </w:p>
    <w:p>
      <w:pPr>
        <w:spacing w:line="700" w:lineRule="exact"/>
        <w:jc w:val="center"/>
        <w:rPr>
          <w:rFonts w:ascii="楷体" w:hAnsi="楷体" w:eastAsia="楷体"/>
          <w:sz w:val="32"/>
          <w:szCs w:val="32"/>
        </w:rPr>
      </w:pPr>
      <w:r>
        <w:rPr>
          <w:rFonts w:hint="eastAsia" w:ascii="楷体" w:hAnsi="楷体" w:eastAsia="楷体"/>
          <w:sz w:val="32"/>
          <w:szCs w:val="32"/>
        </w:rPr>
        <w:t>（2023年2月10日）</w:t>
      </w:r>
    </w:p>
    <w:p>
      <w:pPr>
        <w:pStyle w:val="2"/>
      </w:pPr>
    </w:p>
    <w:p>
      <w:pPr>
        <w:spacing w:line="600" w:lineRule="exact"/>
        <w:ind w:firstLine="664" w:firstLineChars="200"/>
        <w:rPr>
          <w:rFonts w:ascii="仿宋_GB2312" w:hAnsi="仿宋" w:eastAsia="仿宋_GB2312"/>
          <w:spacing w:val="6"/>
          <w:sz w:val="32"/>
          <w:szCs w:val="32"/>
        </w:rPr>
      </w:pPr>
      <w:r>
        <w:rPr>
          <w:rFonts w:hint="eastAsia" w:ascii="仿宋_GB2312" w:hAnsi="仿宋" w:eastAsia="仿宋_GB2312"/>
          <w:spacing w:val="6"/>
          <w:sz w:val="32"/>
          <w:szCs w:val="32"/>
        </w:rPr>
        <w:t>2022年，我坚持以习近平新时代中国特色社会主义思想和党的二十大精神为指导，认真贯彻习近平</w:t>
      </w:r>
      <w:bookmarkStart w:id="0" w:name="_GoBack"/>
      <w:bookmarkEnd w:id="0"/>
      <w:r>
        <w:rPr>
          <w:rFonts w:hint="eastAsia" w:ascii="仿宋_GB2312" w:hAnsi="仿宋" w:eastAsia="仿宋_GB2312"/>
          <w:spacing w:val="6"/>
          <w:sz w:val="32"/>
          <w:szCs w:val="32"/>
        </w:rPr>
        <w:t>总书记对湖南重要讲话指示精神</w:t>
      </w:r>
      <w:r>
        <w:rPr>
          <w:rFonts w:hint="eastAsia" w:ascii="仿宋_GB2312" w:eastAsia="仿宋_GB2312"/>
          <w:sz w:val="32"/>
          <w:szCs w:val="32"/>
        </w:rPr>
        <w:t>，在省委省政府和中心党组的坚强领导下，沉着应对复杂变化的形势和新冠疫情，全面落实“三高四新”战略定位和使命任务，统筹疫情防控和</w:t>
      </w:r>
      <w:r>
        <w:rPr>
          <w:rFonts w:hint="eastAsia" w:ascii="仿宋_GB2312" w:hAnsi="仿宋" w:eastAsia="仿宋_GB2312"/>
          <w:spacing w:val="6"/>
          <w:sz w:val="32"/>
          <w:szCs w:val="32"/>
        </w:rPr>
        <w:t>公共资源交易高质量发展，全面推进各项工作稳定有序发展。现将情况汇报如下。</w:t>
      </w:r>
    </w:p>
    <w:p>
      <w:pPr>
        <w:spacing w:line="600" w:lineRule="exact"/>
        <w:ind w:firstLine="664" w:firstLineChars="200"/>
        <w:rPr>
          <w:rFonts w:ascii="黑体" w:hAnsi="黑体" w:eastAsia="黑体"/>
          <w:spacing w:val="6"/>
          <w:sz w:val="32"/>
          <w:szCs w:val="32"/>
        </w:rPr>
      </w:pPr>
      <w:r>
        <w:rPr>
          <w:rFonts w:hint="eastAsia" w:ascii="黑体" w:hAnsi="黑体" w:eastAsia="黑体"/>
          <w:spacing w:val="6"/>
          <w:sz w:val="32"/>
          <w:szCs w:val="32"/>
        </w:rPr>
        <w:t>一、树牢政治意识，把讲政治守规矩挺在前面</w:t>
      </w:r>
    </w:p>
    <w:p>
      <w:pPr>
        <w:spacing w:line="600" w:lineRule="exact"/>
        <w:ind w:firstLine="664" w:firstLineChars="200"/>
        <w:rPr>
          <w:rFonts w:ascii="仿宋_GB2312" w:hAnsi="仿宋" w:eastAsia="仿宋_GB2312"/>
          <w:spacing w:val="6"/>
          <w:sz w:val="32"/>
          <w:szCs w:val="32"/>
        </w:rPr>
      </w:pPr>
      <w:r>
        <w:rPr>
          <w:rFonts w:hint="eastAsia" w:ascii="楷体" w:hAnsi="楷体" w:eastAsia="楷体"/>
          <w:spacing w:val="6"/>
          <w:sz w:val="32"/>
          <w:szCs w:val="32"/>
        </w:rPr>
        <w:t>（一）强化政治学习，坚持学以致用。</w:t>
      </w:r>
      <w:r>
        <w:rPr>
          <w:rFonts w:hint="eastAsia" w:ascii="仿宋_GB2312" w:hAnsi="仿宋" w:eastAsia="仿宋_GB2312"/>
          <w:b/>
          <w:spacing w:val="6"/>
          <w:sz w:val="32"/>
          <w:szCs w:val="32"/>
        </w:rPr>
        <w:t>一是深入学习领悟党的二十大精神。</w:t>
      </w:r>
      <w:r>
        <w:rPr>
          <w:rFonts w:hint="eastAsia" w:ascii="仿宋_GB2312" w:hAnsi="仿宋" w:eastAsia="仿宋_GB2312"/>
          <w:bCs/>
          <w:spacing w:val="6"/>
          <w:sz w:val="32"/>
          <w:szCs w:val="32"/>
        </w:rPr>
        <w:t>原原本本、逐字逐句学习党的二十大报告和党章，深入学习贯彻习近平新时代中国特色社会主义思想，做到系统深入学、结合实际学、带着问题学、挤出时间学，以思想自觉引领行动自觉，最终把学习成果体现在推动各项事业的发展上。</w:t>
      </w:r>
      <w:r>
        <w:rPr>
          <w:rFonts w:hint="eastAsia" w:ascii="仿宋_GB2312" w:hAnsi="仿宋" w:eastAsia="仿宋_GB2312"/>
          <w:b/>
          <w:spacing w:val="6"/>
          <w:sz w:val="32"/>
          <w:szCs w:val="32"/>
        </w:rPr>
        <w:t>二是全面贯彻落实党的二十大精神。</w:t>
      </w:r>
      <w:r>
        <w:rPr>
          <w:rFonts w:hint="eastAsia" w:ascii="仿宋_GB2312" w:hAnsi="仿宋" w:eastAsia="仿宋_GB2312"/>
          <w:spacing w:val="6"/>
          <w:sz w:val="32"/>
          <w:szCs w:val="32"/>
        </w:rPr>
        <w:t>坚持带头主动学习领悟党的二十大精神实质，把思想摆进去、把职责摆进去、把工作摆进去，切实把二十大精神转化为提高站位、武装头脑、推动工作的动力和方法，加强以习近平新时代中国特色社会主义思想指导现实工作的系统性、全局性和实效性，从而提高解决问题、防范化解风险的工作能力。</w:t>
      </w:r>
    </w:p>
    <w:p>
      <w:pPr>
        <w:spacing w:line="600" w:lineRule="exact"/>
        <w:ind w:firstLine="664" w:firstLineChars="200"/>
        <w:rPr>
          <w:rFonts w:ascii="仿宋_GB2312" w:hAnsi="仿宋" w:eastAsia="仿宋_GB2312" w:cs="仿宋"/>
          <w:spacing w:val="6"/>
          <w:sz w:val="32"/>
          <w:szCs w:val="32"/>
        </w:rPr>
      </w:pPr>
      <w:r>
        <w:rPr>
          <w:rFonts w:hint="eastAsia" w:ascii="楷体" w:hAnsi="楷体" w:eastAsia="楷体"/>
          <w:spacing w:val="6"/>
          <w:sz w:val="32"/>
          <w:szCs w:val="32"/>
        </w:rPr>
        <w:t>（二）强化政治意识,坚持和加强党的全面领导。</w:t>
      </w:r>
      <w:r>
        <w:rPr>
          <w:rFonts w:hint="eastAsia" w:ascii="仿宋_GB2312" w:hAnsi="仿宋" w:eastAsia="仿宋_GB2312" w:cs="仿宋"/>
          <w:b/>
          <w:bCs/>
          <w:spacing w:val="6"/>
          <w:sz w:val="32"/>
          <w:szCs w:val="32"/>
        </w:rPr>
        <w:t>一是始终把政治建设摆在首位。</w:t>
      </w:r>
      <w:r>
        <w:rPr>
          <w:rFonts w:hint="eastAsia" w:ascii="仿宋_GB2312" w:hAnsi="仿宋" w:eastAsia="仿宋_GB2312" w:cs="仿宋"/>
          <w:spacing w:val="6"/>
          <w:sz w:val="32"/>
          <w:szCs w:val="32"/>
        </w:rPr>
        <w:t>深刻领悟“两个确立”的决定性意义，切实增强“四个意识”、坚定“四个自信”、做到“两个维护”，严明政治纪律和政治规矩，提高政治判断力、政治领悟力、政治执行力，始终在政治立场、政治方向、政治原则、政治道路上同以习近平同志为核心的党中央保持高度一致。</w:t>
      </w:r>
      <w:r>
        <w:rPr>
          <w:rFonts w:hint="eastAsia" w:ascii="仿宋_GB2312" w:hAnsi="仿宋" w:eastAsia="仿宋_GB2312" w:cs="仿宋"/>
          <w:b/>
          <w:bCs/>
          <w:spacing w:val="6"/>
          <w:sz w:val="32"/>
          <w:szCs w:val="32"/>
        </w:rPr>
        <w:t>二是始终保持为民务实清廉的政治本色。</w:t>
      </w:r>
      <w:r>
        <w:rPr>
          <w:rFonts w:hint="eastAsia" w:ascii="仿宋_GB2312" w:hAnsi="仿宋" w:eastAsia="仿宋_GB2312" w:cs="仿宋"/>
          <w:spacing w:val="6"/>
          <w:sz w:val="32"/>
          <w:szCs w:val="32"/>
        </w:rPr>
        <w:t>严格执行中央八项规定及其细则，力戒形式主义、官僚主义，坚持正确的人生观、价值观和政绩观。</w:t>
      </w:r>
      <w:r>
        <w:rPr>
          <w:rFonts w:hint="eastAsia" w:ascii="仿宋_GB2312" w:hAnsi="仿宋" w:eastAsia="仿宋_GB2312" w:cs="仿宋"/>
          <w:b/>
          <w:bCs/>
          <w:spacing w:val="6"/>
          <w:sz w:val="32"/>
          <w:szCs w:val="32"/>
        </w:rPr>
        <w:t>三是始终严格履行一岗双责。</w:t>
      </w:r>
      <w:r>
        <w:rPr>
          <w:rFonts w:hint="eastAsia" w:ascii="仿宋_GB2312" w:hAnsi="仿宋" w:eastAsia="仿宋_GB2312" w:cs="仿宋"/>
          <w:spacing w:val="6"/>
          <w:sz w:val="32"/>
          <w:szCs w:val="32"/>
        </w:rPr>
        <w:t>强化分管部门的支部建设和廉政建设，在督促分管部室研究年度业务工作的同时，制定切实可行的支部工作计划，充分发挥其战斗堡垒作用。过好双重组织生活，以普通党员身份积极参加所在支部的政治学习和业务讨论，为党员干部讲授党课。</w:t>
      </w:r>
    </w:p>
    <w:p>
      <w:pPr>
        <w:spacing w:line="600" w:lineRule="exact"/>
        <w:ind w:firstLine="664" w:firstLineChars="200"/>
        <w:rPr>
          <w:rFonts w:ascii="仿宋_GB2312" w:hAnsi="仿宋" w:eastAsia="仿宋_GB2312"/>
          <w:spacing w:val="6"/>
          <w:sz w:val="32"/>
          <w:szCs w:val="32"/>
        </w:rPr>
      </w:pPr>
      <w:r>
        <w:rPr>
          <w:rFonts w:hint="eastAsia" w:ascii="华文楷体" w:hAnsi="华文楷体" w:eastAsia="华文楷体"/>
          <w:spacing w:val="6"/>
          <w:sz w:val="32"/>
          <w:szCs w:val="32"/>
        </w:rPr>
        <w:t>（三）强化政治担当，践行以人民为中心的发展思想。</w:t>
      </w:r>
      <w:r>
        <w:rPr>
          <w:rFonts w:hint="eastAsia" w:ascii="仿宋_GB2312" w:hAnsi="仿宋" w:eastAsia="仿宋_GB2312"/>
          <w:bCs/>
          <w:spacing w:val="6"/>
          <w:sz w:val="32"/>
          <w:szCs w:val="32"/>
        </w:rPr>
        <w:t>面对当前复杂的国内国际环境，作为一名党员干部要始终坚持政治担当，带头坚持以人民为中心的发展思想，强化底线思维，面对问题临危不惧、沉着冷静、主动出击，敢于迎难而上、靠前指挥、果断处置，不断增强工作的主动性、预见性和创造性。</w:t>
      </w:r>
    </w:p>
    <w:p>
      <w:pPr>
        <w:spacing w:line="600" w:lineRule="exact"/>
        <w:ind w:firstLine="640" w:firstLineChars="200"/>
        <w:rPr>
          <w:rFonts w:ascii="黑体" w:hAnsi="黑体" w:eastAsia="黑体"/>
          <w:sz w:val="32"/>
        </w:rPr>
      </w:pPr>
      <w:r>
        <w:rPr>
          <w:rFonts w:hint="eastAsia" w:ascii="黑体" w:hAnsi="黑体" w:eastAsia="黑体"/>
          <w:sz w:val="32"/>
        </w:rPr>
        <w:t>二、强化责任担当，切实履职尽责、干事创业</w:t>
      </w:r>
    </w:p>
    <w:p>
      <w:pPr>
        <w:spacing w:line="600" w:lineRule="exact"/>
        <w:ind w:firstLine="640" w:firstLineChars="200"/>
        <w:rPr>
          <w:rFonts w:ascii="仿宋" w:hAnsi="仿宋" w:eastAsia="仿宋" w:cs="仿宋"/>
          <w:spacing w:val="6"/>
          <w:sz w:val="32"/>
          <w:szCs w:val="32"/>
        </w:rPr>
      </w:pPr>
      <w:r>
        <w:rPr>
          <w:rFonts w:hint="eastAsia" w:ascii="楷体" w:hAnsi="楷体" w:eastAsia="楷体"/>
          <w:sz w:val="32"/>
          <w:szCs w:val="32"/>
        </w:rPr>
        <w:t>（一）狠抓制度建设，夯实业务基础。</w:t>
      </w:r>
      <w:r>
        <w:rPr>
          <w:rFonts w:hint="eastAsia" w:ascii="仿宋_GB2312" w:hAnsi="仿宋" w:eastAsia="仿宋_GB2312" w:cs="仿宋"/>
          <w:sz w:val="32"/>
          <w:szCs w:val="32"/>
        </w:rPr>
        <w:t>制度建设是利长远的重要工作。坚持按制度办事、以制度管人，不断完善制度和规范工作流程。组织开展中心业务制度梳理整合，按照“废、改、立”的原则，对中心原有的56项制度修订整合为15项。组织分管业务二部根据政府采购的最新政策要求和中心业务岗位职责的调整，将原《集中采购代理工作流程》《关于规范政府采购行为加强内部控制管理的若干规定》等五项制度予以整合修订，形成统一规范的《政府集中采购代理工作规程》；依据《深化政府采购制度改革方案》《政府采购需求管理办法》等文件精神，组织对采购人和业务二部在政府采购活动中的工作内容和职责边界进行了全面系统梳理，并形成工作职责38项。通过积极加强与省发改委等行政监督部门的沟通协调，深入参与评标专家和代理机构管理一系列制度办法的修订，强化了交易中心的现场管理职责。</w:t>
      </w:r>
    </w:p>
    <w:p>
      <w:pPr>
        <w:spacing w:line="600" w:lineRule="exact"/>
        <w:ind w:firstLine="640" w:firstLineChars="200"/>
        <w:rPr>
          <w:rFonts w:ascii="仿宋_GB2312" w:hAnsi="仿宋" w:eastAsia="仿宋_GB2312" w:cs="仿宋"/>
          <w:bCs/>
          <w:sz w:val="32"/>
          <w:szCs w:val="32"/>
          <w:shd w:val="clear" w:color="auto" w:fill="FFFFFF"/>
        </w:rPr>
      </w:pPr>
      <w:r>
        <w:rPr>
          <w:rFonts w:hint="eastAsia" w:ascii="楷体" w:hAnsi="楷体" w:eastAsia="楷体"/>
          <w:sz w:val="32"/>
          <w:szCs w:val="32"/>
        </w:rPr>
        <w:t>（二）狠抓创新发展，突破思维瓶颈。</w:t>
      </w:r>
      <w:r>
        <w:rPr>
          <w:rFonts w:hint="eastAsia" w:ascii="仿宋_GB2312" w:hAnsi="仿宋" w:eastAsia="仿宋_GB2312" w:cs="仿宋"/>
          <w:b/>
          <w:sz w:val="32"/>
          <w:szCs w:val="32"/>
        </w:rPr>
        <w:t>一是</w:t>
      </w:r>
      <w:r>
        <w:rPr>
          <w:rFonts w:hint="eastAsia" w:ascii="仿宋_GB2312" w:hAnsi="仿宋" w:eastAsia="仿宋_GB2312" w:cs="仿宋"/>
          <w:b/>
          <w:sz w:val="32"/>
          <w:szCs w:val="32"/>
          <w:shd w:val="clear" w:color="auto" w:fill="FFFFFF"/>
        </w:rPr>
        <w:t>打造公共资源交易服务标准化国家试点的“湖南样板”。</w:t>
      </w:r>
      <w:r>
        <w:rPr>
          <w:rFonts w:hint="eastAsia" w:ascii="仿宋_GB2312" w:hAnsi="仿宋" w:eastAsia="仿宋_GB2312" w:cs="仿宋"/>
          <w:bCs/>
          <w:sz w:val="32"/>
          <w:szCs w:val="32"/>
          <w:shd w:val="clear" w:color="auto" w:fill="FFFFFF"/>
        </w:rPr>
        <w:t>2022年1月，邀请省委常委、常务副省长李殿勋出席了试点启动大会;6月，组织召开了“公共资源服务标准化国家级试点”地方标准编制工作会议暨跨省合作备忘录签署仪式，宁夏、甘肃、江苏、安徽合肥、杭州等外省交易机构及省内11个市州中心领导参加,人民网、新华网、湖南卫视、新湖南网、红网等媒体相继予以报道。目前已发布《公共资源交易网上开标服务规程》（DB 43 /T 2427-2022）湖南省地方标准，《保证金服务规范》、《数字见证管理规范》等12个地方标准已报省市场监督管理局挂网向社会公开征求意见。“省市共建、跨省合作”的标准建设模式取得良好效果</w:t>
      </w:r>
      <w:r>
        <w:rPr>
          <w:rFonts w:hint="eastAsia" w:ascii="仿宋_GB2312" w:hAnsi="仿宋" w:eastAsia="仿宋_GB2312" w:cs="仿宋"/>
          <w:b/>
          <w:sz w:val="32"/>
          <w:szCs w:val="32"/>
          <w:shd w:val="clear" w:color="auto" w:fill="FFFFFF"/>
        </w:rPr>
        <w:t>。二是实现评标专家劳务报酬“不见面支付”</w:t>
      </w:r>
      <w:r>
        <w:rPr>
          <w:rFonts w:hint="eastAsia" w:ascii="仿宋_GB2312" w:hAnsi="仿宋" w:eastAsia="仿宋_GB2312" w:cs="仿宋"/>
          <w:bCs/>
          <w:sz w:val="32"/>
          <w:szCs w:val="32"/>
          <w:shd w:val="clear" w:color="auto" w:fill="FFFFFF"/>
        </w:rPr>
        <w:t>。组织分管部门创新研发了评标专家劳务报酬支付系统，实现“不见面支付”，有效防范了评标专家劳务报酬发放过程中存在的专家信息泄露、违规勾连等交易廉政风险。2022年完成项目支付1635次，共支付3955名专家542万余元劳务报酬费用。</w:t>
      </w:r>
      <w:r>
        <w:rPr>
          <w:rFonts w:hint="eastAsia" w:ascii="仿宋_GB2312" w:hAnsi="仿宋" w:eastAsia="仿宋_GB2312" w:cs="仿宋"/>
          <w:b/>
          <w:sz w:val="32"/>
          <w:szCs w:val="32"/>
          <w:shd w:val="clear" w:color="auto" w:fill="FFFFFF"/>
        </w:rPr>
        <w:t>三是构建医药采购新型监测模式。</w:t>
      </w:r>
      <w:r>
        <w:rPr>
          <w:rFonts w:hint="eastAsia" w:ascii="仿宋_GB2312" w:hAnsi="仿宋" w:eastAsia="仿宋_GB2312" w:cs="仿宋"/>
          <w:bCs/>
          <w:sz w:val="32"/>
          <w:szCs w:val="32"/>
          <w:shd w:val="clear" w:color="auto" w:fill="FFFFFF"/>
        </w:rPr>
        <w:t>依托平台现有数据资源优势，持续破解平台中的难点、痛点和堵点，全力推进湖南省医药集中采购平台升级改造，拓展平台功能，强化监测体系，构建医药集采交易全过程“互联网+监测”的新型监测模式，为行政监督部门提供定制化、可推广的监测服务。为确保急抢救短缺药品供应，省交易中心对急抢救、短缺或易短缺药品的基础信息、阳光挂网及议价采购流程进行了全面规范，加强对异常交易价格和供应信息的监测监管，建立急短缺药品保供稳价的部门联动监管处置机制。全年共有420个短缺药品直接挂网，及时将73家哨点医疗机构反馈的210个药品短缺问题推送至省短缺药品监测预警中心。我省全面规范急抢救短缺药保供稳价信息，建立部门联动监测处置机制经验国家医保局进行了介绍推广。</w:t>
      </w:r>
    </w:p>
    <w:p>
      <w:pPr>
        <w:ind w:firstLine="640" w:firstLineChars="200"/>
        <w:rPr>
          <w:rFonts w:ascii="仿宋_GB2312" w:hAnsi="仿宋" w:eastAsia="仿宋_GB2312"/>
          <w:sz w:val="32"/>
          <w:szCs w:val="32"/>
        </w:rPr>
      </w:pPr>
      <w:r>
        <w:rPr>
          <w:rFonts w:hint="eastAsia" w:ascii="楷体" w:hAnsi="楷体" w:eastAsia="楷体"/>
          <w:sz w:val="32"/>
          <w:szCs w:val="32"/>
        </w:rPr>
        <w:t>（三）切实提升服务，优化营商环境。</w:t>
      </w:r>
      <w:r>
        <w:rPr>
          <w:rFonts w:hint="eastAsia" w:ascii="仿宋_GB2312" w:hAnsi="仿宋" w:eastAsia="仿宋_GB2312"/>
          <w:b/>
          <w:bCs/>
          <w:spacing w:val="6"/>
          <w:sz w:val="32"/>
          <w:szCs w:val="32"/>
        </w:rPr>
        <w:t>一是服务“高效化”。</w:t>
      </w:r>
      <w:r>
        <w:rPr>
          <w:rFonts w:hint="eastAsia" w:ascii="仿宋_GB2312" w:hAnsi="仿宋" w:eastAsia="仿宋_GB2312"/>
          <w:spacing w:val="6"/>
          <w:sz w:val="32"/>
          <w:szCs w:val="32"/>
        </w:rPr>
        <w:t>组织对政府集中采购和分散采购从采购计划受理至中标（成交）结果发布的各交易环节进行了全流程梳理，共发现需要修改和优化的问题21项</w:t>
      </w:r>
      <w:r>
        <w:rPr>
          <w:rFonts w:hint="eastAsia" w:ascii="仿宋_GB2312" w:hAnsi="仿宋" w:eastAsia="仿宋_GB2312"/>
          <w:spacing w:val="6"/>
          <w:sz w:val="32"/>
          <w:szCs w:val="32"/>
          <w:lang w:val="en"/>
        </w:rPr>
        <w:t>;</w:t>
      </w:r>
      <w:r>
        <w:rPr>
          <w:rFonts w:hint="eastAsia" w:ascii="仿宋_GB2312" w:hAnsi="仿宋" w:eastAsia="仿宋_GB2312"/>
          <w:spacing w:val="6"/>
          <w:sz w:val="32"/>
          <w:szCs w:val="32"/>
        </w:rPr>
        <w:t>优化审核流程，将原有的15项审核工作流进行合并、优化后仅保留6项，进一步提高了集中采购工作效率。</w:t>
      </w:r>
      <w:r>
        <w:rPr>
          <w:rFonts w:hint="eastAsia" w:ascii="仿宋_GB2312" w:hAnsi="仿宋" w:eastAsia="仿宋_GB2312" w:cs="仿宋"/>
          <w:sz w:val="32"/>
          <w:szCs w:val="32"/>
        </w:rPr>
        <w:t>简化药品、医用耗材企业和产品新增和变更信息挂网流程，推行承诺管理制度，基础信息不再进行核验，环节更简单，办事更快捷，大大减轻了企业负担。</w:t>
      </w:r>
      <w:r>
        <w:rPr>
          <w:rFonts w:hint="eastAsia" w:ascii="仿宋_GB2312" w:hAnsi="仿宋" w:eastAsia="仿宋_GB2312"/>
          <w:b/>
          <w:bCs/>
          <w:spacing w:val="6"/>
          <w:sz w:val="32"/>
          <w:szCs w:val="32"/>
        </w:rPr>
        <w:t>二是服务“规范化”。</w:t>
      </w:r>
      <w:r>
        <w:rPr>
          <w:rFonts w:hint="eastAsia" w:ascii="仿宋_GB2312" w:hAnsi="仿宋" w:eastAsia="仿宋_GB2312"/>
          <w:spacing w:val="6"/>
          <w:sz w:val="32"/>
          <w:szCs w:val="32"/>
        </w:rPr>
        <w:t>加强交易服务流程和质量的规范化，从简化流程、提高效率、规范边界等方面着手，按照“管办分离”原则，进一步厘清与省医保局工作边界，制定《医药集采工作手册（试用）》和工作边界图。同时，按照“能线上不线下，能系统不人工、能前端不后台”的工作思路，对医药板块业务工作流程进行了全面梳理优化，将原有工作事项67项合并简化到19项，并将24项后台办理事项转前台办理，医药集采工作服务机制进一步完善。</w:t>
      </w:r>
      <w:r>
        <w:rPr>
          <w:rFonts w:hint="eastAsia" w:ascii="仿宋_GB2312" w:hAnsi="仿宋" w:eastAsia="仿宋_GB2312"/>
          <w:b/>
          <w:bCs/>
          <w:spacing w:val="6"/>
          <w:sz w:val="32"/>
          <w:szCs w:val="32"/>
        </w:rPr>
        <w:t>三是服务“公开化”。</w:t>
      </w:r>
      <w:r>
        <w:rPr>
          <w:rFonts w:hint="eastAsia" w:ascii="仿宋_GB2312" w:hAnsi="仿宋" w:eastAsia="仿宋_GB2312" w:cs="仿宋"/>
          <w:sz w:val="32"/>
          <w:szCs w:val="32"/>
        </w:rPr>
        <w:t>按照省委省政府要求组织编制了中心“一件事一次办”清单，并以此为基础，牵头开始对中心制度进行大整合、对业务操作规程开展大梳理，对交易服务平台下手大改版，使交易主体对交易程序一目了然，知道“办什么”、“怎么办”，实现“一网办”、“一次办”，全面提升交易服务能力和水平提升。同时，加强了药品医用耗材挂网产品的信息公开力度，对3万多个药品、34万多个医用耗材的产品资质、挂网价格以及近3000家配送企业的配送能力等相关信息进行全面公开，医药企业、医疗机构和社会各界均可通过湖南省公共资源交易服务平台实时查看，进一步提升平台透明度。</w:t>
      </w:r>
    </w:p>
    <w:p>
      <w:pPr>
        <w:widowControl/>
        <w:shd w:val="clear" w:color="auto" w:fill="FFFFFF"/>
        <w:spacing w:line="600" w:lineRule="exact"/>
        <w:ind w:firstLine="630"/>
        <w:rPr>
          <w:rFonts w:ascii="仿宋_GB2312" w:hAnsi="仿宋" w:eastAsia="仿宋_GB2312"/>
          <w:bCs/>
          <w:sz w:val="32"/>
          <w:szCs w:val="32"/>
          <w:lang w:val="en"/>
        </w:rPr>
      </w:pPr>
      <w:r>
        <w:rPr>
          <w:rFonts w:hint="eastAsia" w:ascii="楷体" w:hAnsi="楷体" w:eastAsia="楷体"/>
          <w:sz w:val="32"/>
          <w:szCs w:val="32"/>
        </w:rPr>
        <w:t>（四）着力促进规范，打造公平公正的阳光平台。</w:t>
      </w:r>
      <w:r>
        <w:rPr>
          <w:rFonts w:hint="eastAsia" w:ascii="仿宋_GB2312" w:hAnsi="仿宋" w:eastAsia="仿宋_GB2312"/>
          <w:b/>
          <w:sz w:val="32"/>
          <w:szCs w:val="32"/>
        </w:rPr>
        <w:t>一是规范标准文件范本。</w:t>
      </w:r>
      <w:r>
        <w:rPr>
          <w:rFonts w:hint="eastAsia" w:ascii="仿宋_GB2312" w:hAnsi="仿宋" w:eastAsia="仿宋_GB2312"/>
          <w:bCs/>
          <w:sz w:val="32"/>
          <w:szCs w:val="32"/>
        </w:rPr>
        <w:t>根据市场主体反馈的相关情况，组织对政府采购《物业范本》进行了修改和完善，并制定了电梯和教材项目《招标文件范本》；重新编制整理了政府集中采购招标文件编制《正负面清单》并实行动态管理，强化了招标文件编制中不能出现的歧视性、限制性、排他性条款及其他“禁止内容”。</w:t>
      </w:r>
      <w:r>
        <w:rPr>
          <w:rFonts w:hint="eastAsia" w:ascii="仿宋_GB2312" w:hAnsi="仿宋" w:eastAsia="仿宋_GB2312"/>
          <w:b/>
          <w:sz w:val="32"/>
          <w:szCs w:val="32"/>
        </w:rPr>
        <w:t>二是规范保证金管理。</w:t>
      </w:r>
      <w:r>
        <w:rPr>
          <w:rFonts w:hint="eastAsia" w:ascii="仿宋_GB2312" w:hAnsi="仿宋" w:eastAsia="仿宋_GB2312"/>
          <w:bCs/>
          <w:sz w:val="32"/>
          <w:szCs w:val="32"/>
        </w:rPr>
        <w:t>通过不断优化保证金系统，保证保证金在最短时间内应退尽退，完成保证金账务处理，减少企业流动资金压力。全年共清退应退未退共计1000余万元。</w:t>
      </w:r>
      <w:r>
        <w:rPr>
          <w:rFonts w:hint="eastAsia" w:ascii="仿宋_GB2312" w:hAnsi="仿宋" w:eastAsia="仿宋_GB2312"/>
          <w:b/>
          <w:sz w:val="32"/>
          <w:szCs w:val="32"/>
        </w:rPr>
        <w:t>三是规范账户管理。</w:t>
      </w:r>
      <w:r>
        <w:rPr>
          <w:rFonts w:hint="eastAsia" w:ascii="仿宋_GB2312" w:hAnsi="仿宋" w:eastAsia="仿宋_GB2312"/>
          <w:bCs/>
          <w:sz w:val="32"/>
          <w:szCs w:val="32"/>
        </w:rPr>
        <w:t>进一步加强现有银行账户管理，根据审计整改要求2022年7月底办理了交通银行政府采购保证金存款账户的撤销手续，清退往年未退还的保证金和上缴结存利息24.03万元，进一步规范了银行账户管理工作。</w:t>
      </w:r>
      <w:r>
        <w:rPr>
          <w:rFonts w:hint="eastAsia" w:ascii="仿宋_GB2312" w:hAnsi="仿宋" w:eastAsia="仿宋_GB2312"/>
          <w:b/>
          <w:sz w:val="32"/>
          <w:szCs w:val="32"/>
        </w:rPr>
        <w:t>四是强化审计整改效果，不断提升财务管理效能。</w:t>
      </w:r>
      <w:r>
        <w:rPr>
          <w:rFonts w:hint="eastAsia" w:ascii="仿宋_GB2312" w:hAnsi="仿宋" w:eastAsia="仿宋_GB2312"/>
          <w:sz w:val="32"/>
          <w:szCs w:val="32"/>
        </w:rPr>
        <w:t>根据财务审计提出的问题，组织分管部室，按类分解，牵头按期逐一整改到位。</w:t>
      </w:r>
    </w:p>
    <w:p>
      <w:pPr>
        <w:widowControl/>
        <w:shd w:val="clear" w:color="auto" w:fill="FFFFFF"/>
        <w:spacing w:line="600" w:lineRule="exact"/>
        <w:ind w:firstLine="630"/>
        <w:rPr>
          <w:rFonts w:ascii="仿宋_GB2312" w:hAnsi="仿宋" w:eastAsia="仿宋_GB2312"/>
          <w:bCs/>
          <w:sz w:val="32"/>
          <w:szCs w:val="32"/>
          <w:lang w:val="en"/>
        </w:rPr>
      </w:pPr>
      <w:r>
        <w:rPr>
          <w:rFonts w:hint="eastAsia" w:ascii="楷体" w:hAnsi="楷体" w:eastAsia="楷体"/>
          <w:sz w:val="32"/>
          <w:szCs w:val="32"/>
        </w:rPr>
        <w:t>（五）严格监督管理，实现“四个零”成效。</w:t>
      </w:r>
      <w:r>
        <w:rPr>
          <w:rFonts w:hint="eastAsia" w:ascii="仿宋_GB2312" w:hAnsi="仿宋" w:eastAsia="仿宋_GB2312" w:cs="仿宋"/>
          <w:b/>
          <w:bCs/>
          <w:sz w:val="32"/>
          <w:szCs w:val="32"/>
        </w:rPr>
        <w:t>一是服务受理“零推诿”。</w:t>
      </w:r>
      <w:r>
        <w:rPr>
          <w:rFonts w:hint="eastAsia" w:ascii="仿宋_GB2312" w:hAnsi="仿宋" w:eastAsia="仿宋_GB2312" w:cs="仿宋"/>
          <w:sz w:val="32"/>
          <w:szCs w:val="32"/>
        </w:rPr>
        <w:t>实现进场预约和专家抽取服务</w:t>
      </w:r>
      <w:r>
        <w:rPr>
          <w:rFonts w:hint="eastAsia" w:ascii="仿宋_GB2312" w:hAnsi="仿宋" w:eastAsia="仿宋_GB2312" w:cs="仿宋"/>
          <w:kern w:val="0"/>
          <w:sz w:val="32"/>
          <w:szCs w:val="32"/>
          <w:lang w:bidi="ar"/>
        </w:rPr>
        <w:t>均通过电子交易系统实现</w:t>
      </w:r>
      <w:r>
        <w:rPr>
          <w:rFonts w:hint="eastAsia" w:ascii="仿宋_GB2312" w:hAnsi="仿宋" w:eastAsia="仿宋_GB2312" w:cs="仿宋"/>
          <w:sz w:val="32"/>
          <w:szCs w:val="32"/>
        </w:rPr>
        <w:t>同标准受理，所有办理要件、时限要求、操作程序均实现网上主动公开</w:t>
      </w:r>
      <w:r>
        <w:rPr>
          <w:rFonts w:hint="eastAsia" w:ascii="仿宋_GB2312" w:hAnsi="仿宋" w:eastAsia="仿宋_GB2312" w:cs="仿宋"/>
          <w:kern w:val="0"/>
          <w:sz w:val="32"/>
          <w:szCs w:val="32"/>
          <w:lang w:bidi="ar"/>
        </w:rPr>
        <w:t>，实现自动受理自动匹配。2022年共受理项目进场</w:t>
      </w:r>
      <w:r>
        <w:rPr>
          <w:rFonts w:hint="eastAsia" w:ascii="仿宋_GB2312" w:hAnsi="仿宋" w:eastAsia="仿宋_GB2312" w:cs="仿宋"/>
          <w:sz w:val="32"/>
          <w:szCs w:val="32"/>
        </w:rPr>
        <w:t>1</w:t>
      </w:r>
      <w:r>
        <w:rPr>
          <w:rFonts w:hint="eastAsia" w:ascii="仿宋_GB2312" w:hAnsi="仿宋" w:eastAsia="仿宋_GB2312" w:cs="仿宋"/>
          <w:sz w:val="32"/>
          <w:szCs w:val="32"/>
          <w:lang w:val="en"/>
        </w:rPr>
        <w:t>987</w:t>
      </w:r>
      <w:r>
        <w:rPr>
          <w:rFonts w:hint="eastAsia" w:ascii="仿宋_GB2312" w:hAnsi="仿宋" w:eastAsia="仿宋_GB2312" w:cs="仿宋"/>
          <w:sz w:val="32"/>
          <w:szCs w:val="32"/>
        </w:rPr>
        <w:t>个（其中工程建设项目589个、政府采购项目1398个，合计标段（包）3167个）、远程异地评标项目99个，受理项目金额达1049亿元。</w:t>
      </w:r>
      <w:r>
        <w:rPr>
          <w:rFonts w:hint="eastAsia" w:ascii="仿宋_GB2312" w:hAnsi="仿宋" w:eastAsia="仿宋_GB2312" w:cs="仿宋"/>
          <w:b/>
          <w:bCs/>
          <w:sz w:val="32"/>
          <w:szCs w:val="32"/>
        </w:rPr>
        <w:t>二是专家抽取推送“零参与”。</w:t>
      </w:r>
      <w:r>
        <w:rPr>
          <w:rFonts w:hint="eastAsia" w:ascii="仿宋_GB2312" w:hAnsi="仿宋" w:eastAsia="仿宋_GB2312" w:cs="仿宋"/>
          <w:sz w:val="32"/>
          <w:szCs w:val="32"/>
        </w:rPr>
        <w:t>在工作中主动公开，将抽取界面交由招标人、代理机构自行填报，夯实其主体责任；实现“一键抽取”推送专家库；取消专家名单打印；抽取信息直接推送门禁系统；门禁系统自动人证比对放行。全年共抽取工程建设和政府采购专家4100余人，未出现一次差错。</w:t>
      </w:r>
      <w:r>
        <w:rPr>
          <w:rFonts w:hint="eastAsia" w:ascii="仿宋_GB2312" w:hAnsi="仿宋" w:eastAsia="仿宋_GB2312" w:cs="仿宋"/>
          <w:b/>
          <w:bCs/>
          <w:sz w:val="32"/>
          <w:szCs w:val="32"/>
        </w:rPr>
        <w:t>三是评标现场“零进入”。</w:t>
      </w:r>
      <w:r>
        <w:rPr>
          <w:rFonts w:hint="eastAsia" w:ascii="仿宋_GB2312" w:hAnsi="仿宋" w:eastAsia="仿宋_GB2312" w:cs="仿宋"/>
          <w:sz w:val="32"/>
          <w:szCs w:val="32"/>
        </w:rPr>
        <w:t>四楼评标区在评标期间实现了除专家外“零进入”，评标区自5月份开始启取送餐机器人、巡查机器人等,保证了评标区管理秩序井然。全年服务开标3167场次，服务评标（审）专家13548 人次，配送专家餐15000多份。</w:t>
      </w:r>
      <w:r>
        <w:rPr>
          <w:rFonts w:hint="eastAsia" w:ascii="仿宋_GB2312" w:hAnsi="仿宋" w:eastAsia="仿宋_GB2312" w:cs="仿宋"/>
          <w:b/>
          <w:bCs/>
          <w:sz w:val="32"/>
          <w:szCs w:val="32"/>
        </w:rPr>
        <w:t>四是异常情况“零容忍”。</w:t>
      </w:r>
      <w:r>
        <w:rPr>
          <w:rFonts w:hint="eastAsia" w:ascii="仿宋_GB2312" w:hAnsi="仿宋" w:eastAsia="仿宋_GB2312" w:cs="仿宋"/>
          <w:sz w:val="32"/>
          <w:szCs w:val="32"/>
        </w:rPr>
        <w:t>针对专家和代理机构在交易场所出现的违规异常情况及时进行制止、提醒、记录，并通过内控系统报送相关部室。实现用制度管人、用系统治人。全年报送了两起评标专家违规情况。</w:t>
      </w:r>
    </w:p>
    <w:p>
      <w:pPr>
        <w:pStyle w:val="3"/>
        <w:spacing w:line="560" w:lineRule="exact"/>
        <w:ind w:firstLine="640"/>
        <w:rPr>
          <w:rFonts w:ascii="仿宋" w:hAnsi="仿宋" w:eastAsia="仿宋" w:cs="仿宋"/>
          <w:b/>
          <w:bCs/>
          <w:sz w:val="32"/>
          <w:szCs w:val="32"/>
        </w:rPr>
      </w:pPr>
      <w:r>
        <w:rPr>
          <w:rFonts w:hint="eastAsia" w:ascii="楷体" w:hAnsi="楷体" w:eastAsia="楷体"/>
          <w:sz w:val="32"/>
          <w:szCs w:val="32"/>
        </w:rPr>
        <w:t>（六）提升服务</w:t>
      </w:r>
      <w:r>
        <w:rPr>
          <w:rFonts w:ascii="楷体" w:hAnsi="楷体" w:eastAsia="楷体"/>
          <w:sz w:val="32"/>
          <w:szCs w:val="32"/>
        </w:rPr>
        <w:t>效能</w:t>
      </w:r>
      <w:r>
        <w:rPr>
          <w:rFonts w:hint="eastAsia" w:ascii="楷体" w:hAnsi="楷体" w:eastAsia="楷体"/>
          <w:sz w:val="32"/>
          <w:szCs w:val="32"/>
        </w:rPr>
        <w:t>，着力保障民生。</w:t>
      </w:r>
      <w:r>
        <w:rPr>
          <w:rFonts w:hint="eastAsia" w:ascii="仿宋_GB2312" w:hAnsi="仿宋" w:eastAsia="仿宋_GB2312" w:cs="仿宋"/>
          <w:b/>
          <w:bCs/>
          <w:sz w:val="32"/>
          <w:szCs w:val="32"/>
        </w:rPr>
        <w:t>一是紧急启动救治急需药品应急挂网。</w:t>
      </w:r>
      <w:r>
        <w:rPr>
          <w:rFonts w:hint="eastAsia" w:ascii="仿宋_GB2312" w:hAnsi="仿宋" w:eastAsia="仿宋_GB2312" w:cs="仿宋"/>
          <w:sz w:val="32"/>
          <w:szCs w:val="32"/>
        </w:rPr>
        <w:t>为</w:t>
      </w:r>
      <w:r>
        <w:rPr>
          <w:rFonts w:hint="eastAsia" w:ascii="仿宋_GB2312" w:hAnsi="仿宋" w:eastAsia="仿宋_GB2312" w:cs="仿宋"/>
          <w:kern w:val="0"/>
          <w:sz w:val="32"/>
          <w:szCs w:val="32"/>
          <w:lang w:bidi="ar"/>
        </w:rPr>
        <w:t>全力做好我省病毒感染相关治疗药品挂网保供稳价工作,去年12月迅速启动</w:t>
      </w:r>
      <w:r>
        <w:rPr>
          <w:rFonts w:hint="eastAsia" w:ascii="仿宋_GB2312" w:hAnsi="仿宋" w:eastAsia="仿宋_GB2312" w:cs="仿宋"/>
          <w:sz w:val="32"/>
          <w:szCs w:val="32"/>
        </w:rPr>
        <w:t>全省新冠肺炎救治急需药品应急挂网绿色通道，</w:t>
      </w:r>
      <w:r>
        <w:rPr>
          <w:rFonts w:hint="eastAsia" w:ascii="仿宋_GB2312" w:hAnsi="仿宋" w:eastAsia="仿宋_GB2312" w:cs="仿宋"/>
          <w:kern w:val="0"/>
          <w:sz w:val="32"/>
          <w:szCs w:val="32"/>
          <w:lang w:bidi="ar"/>
        </w:rPr>
        <w:t>建立新冠病毒防治药品应急挂网机制。</w:t>
      </w:r>
      <w:r>
        <w:rPr>
          <w:rFonts w:hint="eastAsia" w:ascii="仿宋_GB2312" w:hAnsi="仿宋" w:eastAsia="仿宋_GB2312" w:cs="仿宋"/>
          <w:sz w:val="32"/>
          <w:szCs w:val="32"/>
        </w:rPr>
        <w:t>按照“即收、即审、即挂、即采”的方式，</w:t>
      </w:r>
      <w:r>
        <w:rPr>
          <w:rFonts w:hint="eastAsia" w:ascii="仿宋_GB2312" w:hAnsi="仿宋" w:eastAsia="仿宋_GB2312" w:cs="仿宋"/>
          <w:kern w:val="0"/>
          <w:sz w:val="32"/>
          <w:szCs w:val="32"/>
          <w:lang w:bidi="ar"/>
        </w:rPr>
        <w:t>实行“特事特办”，及时将</w:t>
      </w:r>
      <w:r>
        <w:rPr>
          <w:rFonts w:hint="eastAsia" w:ascii="仿宋_GB2312" w:hAnsi="仿宋" w:eastAsia="仿宋_GB2312" w:cs="仿宋"/>
          <w:sz w:val="32"/>
          <w:szCs w:val="32"/>
        </w:rPr>
        <w:t>新冠肺炎防治药品应急挂网，保障急需药品的供应。截至2023年1月底，已挂网6批84个药品。</w:t>
      </w:r>
      <w:r>
        <w:rPr>
          <w:rFonts w:hint="eastAsia" w:ascii="仿宋_GB2312" w:hAnsi="仿宋" w:eastAsia="仿宋_GB2312" w:cs="仿宋"/>
          <w:b/>
          <w:bCs/>
          <w:sz w:val="32"/>
          <w:szCs w:val="32"/>
        </w:rPr>
        <w:t>二是大力推进药品耗材集中带量采购。</w:t>
      </w:r>
      <w:r>
        <w:rPr>
          <w:rFonts w:hint="eastAsia" w:ascii="仿宋_GB2312" w:hAnsi="仿宋" w:eastAsia="仿宋_GB2312" w:cs="仿宋"/>
          <w:sz w:val="32"/>
          <w:szCs w:val="32"/>
        </w:rPr>
        <w:t>不断拓宽药品和医用耗材集中带量采购范围，不断增加采购品种数量，截至2022年底，我省已完成11批416个药品、8批9类种医用耗材的集中带量采购，药品和医用耗材的挂网价格大幅度下降，每年为老百姓减少医药费用支出约80亿元。</w:t>
      </w:r>
      <w:r>
        <w:rPr>
          <w:rFonts w:hint="eastAsia" w:ascii="仿宋_GB2312" w:hAnsi="仿宋" w:eastAsia="仿宋_GB2312" w:cs="仿宋"/>
          <w:b/>
          <w:bCs/>
          <w:sz w:val="32"/>
          <w:szCs w:val="32"/>
        </w:rPr>
        <w:t>三是常态开展药品省际价格联动。</w:t>
      </w:r>
      <w:r>
        <w:rPr>
          <w:rFonts w:hint="eastAsia" w:ascii="仿宋_GB2312" w:hAnsi="仿宋" w:eastAsia="仿宋_GB2312" w:cs="仿宋"/>
          <w:sz w:val="32"/>
          <w:szCs w:val="32"/>
        </w:rPr>
        <w:t>配合省医保局出台《关于开展2022年挂网药品常态化价格联动的通知》，建立了我省药品省际价格联动常态化机制，要求企业在我省的挂网价格不得高于全国各省有效挂网价，且将价格联动周期由每年一次调整为每季一次，并首次将短缺、易短缺药品纳入价格联动范围，进一步降低我省挂网药品的价格。2022年已开展了2轮省际价格，联动药品10712个，最高降幅99.44%</w:t>
      </w:r>
      <w:r>
        <w:rPr>
          <w:rFonts w:hint="eastAsia" w:ascii="仿宋_GB2312" w:hAnsi="仿宋" w:eastAsia="仿宋_GB2312"/>
          <w:sz w:val="32"/>
          <w:szCs w:val="32"/>
        </w:rPr>
        <w:t>。</w:t>
      </w:r>
      <w:r>
        <w:rPr>
          <w:rFonts w:hint="eastAsia" w:ascii="仿宋_GB2312" w:hAnsi="仿宋" w:eastAsia="仿宋_GB2312" w:cs="仿宋"/>
          <w:b/>
          <w:bCs/>
          <w:sz w:val="32"/>
          <w:szCs w:val="32"/>
        </w:rPr>
        <w:t>四是着力保障重点项目采购。</w:t>
      </w:r>
      <w:r>
        <w:rPr>
          <w:rFonts w:hint="eastAsia" w:ascii="仿宋_GB2312" w:hAnsi="仿宋" w:eastAsia="仿宋_GB2312" w:cs="仿宋"/>
          <w:sz w:val="32"/>
          <w:szCs w:val="32"/>
          <w:shd w:val="clear" w:color="auto" w:fill="FFFFFF"/>
        </w:rPr>
        <w:t>2022年</w:t>
      </w:r>
      <w:r>
        <w:rPr>
          <w:rFonts w:hint="eastAsia" w:ascii="仿宋_GB2312" w:hAnsi="仿宋" w:eastAsia="仿宋_GB2312" w:cs="仿宋"/>
          <w:sz w:val="32"/>
          <w:szCs w:val="32"/>
        </w:rPr>
        <w:t>6月，</w:t>
      </w:r>
      <w:r>
        <w:rPr>
          <w:rFonts w:hint="eastAsia" w:ascii="仿宋_GB2312" w:hAnsi="仿宋" w:eastAsia="仿宋_GB2312" w:cs="仿宋"/>
          <w:sz w:val="32"/>
          <w:szCs w:val="32"/>
          <w:shd w:val="clear" w:color="auto" w:fill="FFFFFF"/>
        </w:rPr>
        <w:t>湖南高校应政策要求学生扩招，</w:t>
      </w:r>
      <w:r>
        <w:rPr>
          <w:rFonts w:hint="eastAsia" w:ascii="仿宋_GB2312" w:hAnsi="仿宋" w:eastAsia="仿宋_GB2312" w:cs="仿宋"/>
          <w:sz w:val="32"/>
          <w:szCs w:val="32"/>
        </w:rPr>
        <w:t>采购项目数量猛增，党组高度重视，我亲自部署，三个月内组织完成高校委托的采购项目115批次；12月中下旬，全省10多所省属高校享受国家贴息贷款的</w:t>
      </w:r>
      <w:r>
        <w:rPr>
          <w:rFonts w:hint="eastAsia" w:ascii="仿宋_GB2312" w:hAnsi="仿宋" w:eastAsia="仿宋_GB2312" w:cs="仿宋"/>
          <w:sz w:val="32"/>
          <w:szCs w:val="32"/>
          <w:shd w:val="clear" w:color="auto" w:fill="FFFFFF"/>
        </w:rPr>
        <w:t>40宗政府集中采购</w:t>
      </w:r>
      <w:r>
        <w:rPr>
          <w:rFonts w:hint="eastAsia" w:ascii="仿宋_GB2312" w:hAnsi="仿宋" w:eastAsia="仿宋_GB2312" w:cs="仿宋"/>
          <w:sz w:val="32"/>
          <w:szCs w:val="32"/>
        </w:rPr>
        <w:t>项目</w:t>
      </w:r>
      <w:r>
        <w:rPr>
          <w:rFonts w:hint="eastAsia" w:ascii="仿宋_GB2312" w:hAnsi="仿宋" w:eastAsia="仿宋_GB2312" w:cs="仿宋"/>
          <w:sz w:val="32"/>
          <w:szCs w:val="32"/>
          <w:shd w:val="clear" w:color="auto" w:fill="FFFFFF"/>
        </w:rPr>
        <w:t>急需采购，</w:t>
      </w:r>
      <w:r>
        <w:rPr>
          <w:rFonts w:hint="eastAsia" w:ascii="仿宋_GB2312" w:hAnsi="仿宋" w:eastAsia="仿宋_GB2312" w:cs="仿宋"/>
          <w:sz w:val="32"/>
          <w:szCs w:val="32"/>
        </w:rPr>
        <w:t>加之突如其来的疫情，工作人员在绝大部分感染的情况下，组织各业务部室克服一切困难，通力协作，加班加点，全部按时间节点完成了采购事项挂网和开评标工作。</w:t>
      </w:r>
    </w:p>
    <w:p>
      <w:pPr>
        <w:spacing w:line="600" w:lineRule="exact"/>
        <w:ind w:firstLine="640" w:firstLineChars="200"/>
        <w:rPr>
          <w:rFonts w:ascii="黑体" w:hAnsi="黑体" w:eastAsia="黑体"/>
          <w:spacing w:val="6"/>
          <w:sz w:val="32"/>
          <w:szCs w:val="32"/>
        </w:rPr>
      </w:pPr>
      <w:r>
        <w:rPr>
          <w:rFonts w:hint="eastAsia" w:ascii="黑体" w:hAnsi="黑体" w:eastAsia="黑体"/>
          <w:sz w:val="32"/>
        </w:rPr>
        <w:t>三、加强廉洁自律，坚持严以修身</w:t>
      </w:r>
    </w:p>
    <w:p>
      <w:pPr>
        <w:spacing w:line="600" w:lineRule="exact"/>
        <w:ind w:firstLine="640" w:firstLineChars="200"/>
        <w:rPr>
          <w:rFonts w:ascii="仿宋_GB2312" w:hAnsi="仿宋" w:eastAsia="仿宋_GB2312" w:cs="仿宋_GB2312"/>
          <w:sz w:val="32"/>
          <w:szCs w:val="28"/>
        </w:rPr>
      </w:pPr>
      <w:r>
        <w:rPr>
          <w:rFonts w:hint="eastAsia" w:ascii="仿宋_GB2312" w:hAnsi="仿宋" w:eastAsia="仿宋_GB2312" w:cs="仿宋_GB2312"/>
          <w:sz w:val="32"/>
          <w:szCs w:val="28"/>
        </w:rPr>
        <w:t>作为一名党多年培养和教育的领导干部，我一直严格用党的纪律约束自己，不慕虚荣、不图私利，以平和之心对名、对利、对权。同时，</w:t>
      </w:r>
      <w:r>
        <w:rPr>
          <w:rFonts w:hint="eastAsia" w:ascii="仿宋_GB2312" w:hAnsi="仿宋" w:eastAsia="仿宋_GB2312" w:cs="仿宋_GB2312"/>
          <w:bCs/>
          <w:sz w:val="32"/>
          <w:szCs w:val="28"/>
        </w:rPr>
        <w:t>自觉加强党性锻炼和品德修养，做到不庸俗、不低俗、不媚俗，始终坚持用社会主义道德情操塑造自己、规范自己、激励自己。</w:t>
      </w:r>
      <w:r>
        <w:rPr>
          <w:rFonts w:hint="eastAsia" w:ascii="仿宋_GB2312" w:hAnsi="仿宋" w:eastAsia="仿宋_GB2312" w:cs="仿宋_GB2312"/>
          <w:b/>
          <w:bCs/>
          <w:sz w:val="32"/>
          <w:szCs w:val="28"/>
        </w:rPr>
        <w:t>一是加强廉洁自律。</w:t>
      </w:r>
      <w:r>
        <w:rPr>
          <w:rFonts w:hint="eastAsia" w:ascii="仿宋_GB2312" w:hAnsi="仿宋" w:eastAsia="仿宋_GB2312" w:cs="仿宋_GB2312"/>
          <w:sz w:val="32"/>
          <w:szCs w:val="28"/>
        </w:rPr>
        <w:t>明确行为“红线”和行动“雷区”，坚持把纪律和规矩挺在前面，自觉守住道德底线、法律红线和党纪高压线。</w:t>
      </w:r>
      <w:r>
        <w:rPr>
          <w:rFonts w:hint="eastAsia" w:ascii="仿宋_GB2312" w:hAnsi="仿宋" w:eastAsia="仿宋_GB2312" w:cs="仿宋_GB2312"/>
          <w:b/>
          <w:bCs/>
          <w:sz w:val="32"/>
          <w:szCs w:val="28"/>
        </w:rPr>
        <w:t>二是注重修身立德。</w:t>
      </w:r>
      <w:r>
        <w:rPr>
          <w:rFonts w:hint="eastAsia" w:ascii="仿宋_GB2312" w:hAnsi="仿宋" w:eastAsia="仿宋_GB2312" w:cs="仿宋_GB2312"/>
          <w:sz w:val="32"/>
          <w:szCs w:val="28"/>
        </w:rPr>
        <w:t>对组织安排的工作不讲价钱，不敷衍塞责。做到大事讲原则、小事讲风格，有事多商量，和衷共济、和谐共事，努力加强班子团结。</w:t>
      </w:r>
      <w:r>
        <w:rPr>
          <w:rFonts w:hint="eastAsia" w:ascii="仿宋_GB2312" w:hAnsi="仿宋" w:eastAsia="仿宋_GB2312" w:cs="仿宋_GB2312"/>
          <w:b/>
          <w:bCs/>
          <w:sz w:val="32"/>
          <w:szCs w:val="28"/>
        </w:rPr>
        <w:t>三是做到清正廉洁。</w:t>
      </w:r>
      <w:r>
        <w:rPr>
          <w:rFonts w:hint="eastAsia" w:ascii="仿宋_GB2312" w:hAnsi="仿宋" w:eastAsia="仿宋_GB2312" w:cs="仿宋_GB2312"/>
          <w:sz w:val="32"/>
          <w:szCs w:val="28"/>
        </w:rPr>
        <w:t>时时讲自律、事事守规矩、处处知敬畏，清白做人，干净做事。不义之财不取，是非之事不沾，稳得住心神、抗得住诱惑、经得住考验，自觉维护部门和自身形象。</w:t>
      </w:r>
    </w:p>
    <w:sectPr>
      <w:footerReference r:id="rId3" w:type="default"/>
      <w:footerReference r:id="rId4" w:type="even"/>
      <w:pgSz w:w="11906" w:h="16838"/>
      <w:pgMar w:top="1701" w:right="1531" w:bottom="1418" w:left="1531" w:header="851" w:footer="1134" w:gutter="0"/>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8696525"/>
      <w:docPartObj>
        <w:docPartGallery w:val="AutoText"/>
      </w:docPartObj>
    </w:sdtPr>
    <w:sdtEndPr>
      <w:rPr>
        <w:rFonts w:asciiTheme="minorEastAsia" w:hAnsiTheme="minorEastAsia"/>
        <w:sz w:val="28"/>
        <w:szCs w:val="28"/>
      </w:rPr>
    </w:sdtEndPr>
    <w:sdtContent>
      <w:p>
        <w:pPr>
          <w:pStyle w:val="5"/>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9 -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8672516"/>
    </w:sdtPr>
    <w:sdtContent>
      <w:p>
        <w:pPr>
          <w:pStyle w:val="5"/>
          <w:ind w:firstLine="180" w:firstLineChars="100"/>
        </w:pPr>
        <w:r>
          <w:rPr>
            <w:rFonts w:asciiTheme="majorEastAsia" w:hAnsiTheme="majorEastAsia" w:eastAsiaTheme="majorEastAsia"/>
            <w:sz w:val="28"/>
          </w:rPr>
          <w:fldChar w:fldCharType="begin"/>
        </w:r>
        <w:r>
          <w:rPr>
            <w:rFonts w:asciiTheme="majorEastAsia" w:hAnsiTheme="majorEastAsia" w:eastAsiaTheme="majorEastAsia"/>
            <w:sz w:val="28"/>
          </w:rPr>
          <w:instrText xml:space="preserve">PAGE   \* MERGEFORMAT</w:instrText>
        </w:r>
        <w:r>
          <w:rPr>
            <w:rFonts w:asciiTheme="majorEastAsia" w:hAnsiTheme="majorEastAsia" w:eastAsiaTheme="majorEastAsia"/>
            <w:sz w:val="28"/>
          </w:rPr>
          <w:fldChar w:fldCharType="separate"/>
        </w:r>
        <w:r>
          <w:rPr>
            <w:rFonts w:asciiTheme="majorEastAsia" w:hAnsiTheme="majorEastAsia" w:eastAsiaTheme="majorEastAsia"/>
            <w:sz w:val="28"/>
            <w:lang w:val="zh-CN"/>
          </w:rPr>
          <w:t>-</w:t>
        </w:r>
        <w:r>
          <w:rPr>
            <w:rFonts w:asciiTheme="majorEastAsia" w:hAnsiTheme="majorEastAsia" w:eastAsiaTheme="majorEastAsia"/>
            <w:sz w:val="28"/>
          </w:rPr>
          <w:t xml:space="preserve"> 8 -</w:t>
        </w:r>
        <w:r>
          <w:rPr>
            <w:rFonts w:asciiTheme="majorEastAsia" w:hAnsiTheme="majorEastAsia" w:eastAsiaTheme="majorEastAsia"/>
            <w:sz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evenAndOddHeaders w:val="true"/>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322"/>
    <w:rsid w:val="000029DF"/>
    <w:rsid w:val="00014F45"/>
    <w:rsid w:val="0001501F"/>
    <w:rsid w:val="00015E54"/>
    <w:rsid w:val="0001720C"/>
    <w:rsid w:val="00022E79"/>
    <w:rsid w:val="00023922"/>
    <w:rsid w:val="00024157"/>
    <w:rsid w:val="00024C51"/>
    <w:rsid w:val="0003112E"/>
    <w:rsid w:val="0004042E"/>
    <w:rsid w:val="00050634"/>
    <w:rsid w:val="000506C0"/>
    <w:rsid w:val="00050C63"/>
    <w:rsid w:val="00053880"/>
    <w:rsid w:val="00055D06"/>
    <w:rsid w:val="000568CB"/>
    <w:rsid w:val="00057C37"/>
    <w:rsid w:val="00060082"/>
    <w:rsid w:val="00071C21"/>
    <w:rsid w:val="00076AC3"/>
    <w:rsid w:val="00080C67"/>
    <w:rsid w:val="00084FC3"/>
    <w:rsid w:val="0008564B"/>
    <w:rsid w:val="00086EAD"/>
    <w:rsid w:val="000905AA"/>
    <w:rsid w:val="000960E3"/>
    <w:rsid w:val="00096586"/>
    <w:rsid w:val="000969D8"/>
    <w:rsid w:val="00097A97"/>
    <w:rsid w:val="000A1AE4"/>
    <w:rsid w:val="000A40E1"/>
    <w:rsid w:val="000A6A46"/>
    <w:rsid w:val="000B0499"/>
    <w:rsid w:val="000B24A4"/>
    <w:rsid w:val="000B508B"/>
    <w:rsid w:val="000B5ECC"/>
    <w:rsid w:val="000C0A00"/>
    <w:rsid w:val="000E4612"/>
    <w:rsid w:val="000E615C"/>
    <w:rsid w:val="000E7F90"/>
    <w:rsid w:val="000F5F5A"/>
    <w:rsid w:val="001114C2"/>
    <w:rsid w:val="001126D6"/>
    <w:rsid w:val="00114E85"/>
    <w:rsid w:val="00120066"/>
    <w:rsid w:val="00120F6D"/>
    <w:rsid w:val="00124B0C"/>
    <w:rsid w:val="00124DB2"/>
    <w:rsid w:val="001252EE"/>
    <w:rsid w:val="001363BC"/>
    <w:rsid w:val="0013664C"/>
    <w:rsid w:val="001404FC"/>
    <w:rsid w:val="00140C5D"/>
    <w:rsid w:val="001464B5"/>
    <w:rsid w:val="00146773"/>
    <w:rsid w:val="00146A10"/>
    <w:rsid w:val="00153112"/>
    <w:rsid w:val="00153F73"/>
    <w:rsid w:val="0015585C"/>
    <w:rsid w:val="00166259"/>
    <w:rsid w:val="001677AD"/>
    <w:rsid w:val="00172BD7"/>
    <w:rsid w:val="001760C3"/>
    <w:rsid w:val="00177045"/>
    <w:rsid w:val="001774E5"/>
    <w:rsid w:val="001917DC"/>
    <w:rsid w:val="00191CD9"/>
    <w:rsid w:val="00192075"/>
    <w:rsid w:val="001A171C"/>
    <w:rsid w:val="001A6A9A"/>
    <w:rsid w:val="001A743B"/>
    <w:rsid w:val="001B33F3"/>
    <w:rsid w:val="001B579F"/>
    <w:rsid w:val="001C0477"/>
    <w:rsid w:val="001C2D64"/>
    <w:rsid w:val="001C5501"/>
    <w:rsid w:val="001C5C90"/>
    <w:rsid w:val="001C5F2E"/>
    <w:rsid w:val="001D69FF"/>
    <w:rsid w:val="001D717F"/>
    <w:rsid w:val="001E0490"/>
    <w:rsid w:val="001F43F7"/>
    <w:rsid w:val="001F64F0"/>
    <w:rsid w:val="001F7157"/>
    <w:rsid w:val="002018FA"/>
    <w:rsid w:val="002045F0"/>
    <w:rsid w:val="00205A5E"/>
    <w:rsid w:val="00207FE6"/>
    <w:rsid w:val="00212605"/>
    <w:rsid w:val="002135AA"/>
    <w:rsid w:val="00215996"/>
    <w:rsid w:val="0021772A"/>
    <w:rsid w:val="002220BC"/>
    <w:rsid w:val="002230AF"/>
    <w:rsid w:val="00224017"/>
    <w:rsid w:val="00226BCA"/>
    <w:rsid w:val="00227113"/>
    <w:rsid w:val="002317A8"/>
    <w:rsid w:val="0023231B"/>
    <w:rsid w:val="002359D1"/>
    <w:rsid w:val="00235B08"/>
    <w:rsid w:val="00236FAC"/>
    <w:rsid w:val="0024198F"/>
    <w:rsid w:val="002422C8"/>
    <w:rsid w:val="0024506F"/>
    <w:rsid w:val="0025396E"/>
    <w:rsid w:val="002563E9"/>
    <w:rsid w:val="00264D1A"/>
    <w:rsid w:val="0026524D"/>
    <w:rsid w:val="002674D9"/>
    <w:rsid w:val="0027339B"/>
    <w:rsid w:val="00277263"/>
    <w:rsid w:val="002871F4"/>
    <w:rsid w:val="00291747"/>
    <w:rsid w:val="0029520A"/>
    <w:rsid w:val="002A0025"/>
    <w:rsid w:val="002A2E1A"/>
    <w:rsid w:val="002B1A75"/>
    <w:rsid w:val="002C0605"/>
    <w:rsid w:val="002C53D1"/>
    <w:rsid w:val="002C5888"/>
    <w:rsid w:val="002D42C7"/>
    <w:rsid w:val="002E1213"/>
    <w:rsid w:val="002E19E4"/>
    <w:rsid w:val="002E6CC6"/>
    <w:rsid w:val="002E778B"/>
    <w:rsid w:val="002F1F5C"/>
    <w:rsid w:val="002F6C46"/>
    <w:rsid w:val="00311342"/>
    <w:rsid w:val="003129D5"/>
    <w:rsid w:val="0033799F"/>
    <w:rsid w:val="00337F09"/>
    <w:rsid w:val="00344D7B"/>
    <w:rsid w:val="00345E20"/>
    <w:rsid w:val="003658C5"/>
    <w:rsid w:val="00385464"/>
    <w:rsid w:val="003878D1"/>
    <w:rsid w:val="00390E7F"/>
    <w:rsid w:val="00391892"/>
    <w:rsid w:val="0039349C"/>
    <w:rsid w:val="0039445D"/>
    <w:rsid w:val="0039518E"/>
    <w:rsid w:val="00397C39"/>
    <w:rsid w:val="003A0255"/>
    <w:rsid w:val="003A0CB7"/>
    <w:rsid w:val="003A2A74"/>
    <w:rsid w:val="003A6178"/>
    <w:rsid w:val="003B1880"/>
    <w:rsid w:val="003B56C0"/>
    <w:rsid w:val="003B5D55"/>
    <w:rsid w:val="003C278C"/>
    <w:rsid w:val="003C567D"/>
    <w:rsid w:val="003D21CE"/>
    <w:rsid w:val="003D28B7"/>
    <w:rsid w:val="003E6DB4"/>
    <w:rsid w:val="003F3BBC"/>
    <w:rsid w:val="0040166E"/>
    <w:rsid w:val="00401DD9"/>
    <w:rsid w:val="0041491C"/>
    <w:rsid w:val="00417644"/>
    <w:rsid w:val="004201CC"/>
    <w:rsid w:val="00425403"/>
    <w:rsid w:val="00425410"/>
    <w:rsid w:val="004263A9"/>
    <w:rsid w:val="00437D2B"/>
    <w:rsid w:val="00440CD3"/>
    <w:rsid w:val="004458AB"/>
    <w:rsid w:val="00453E9A"/>
    <w:rsid w:val="00454D52"/>
    <w:rsid w:val="00455662"/>
    <w:rsid w:val="004567AB"/>
    <w:rsid w:val="004630E1"/>
    <w:rsid w:val="00465A29"/>
    <w:rsid w:val="004801EB"/>
    <w:rsid w:val="00481EDB"/>
    <w:rsid w:val="00484C59"/>
    <w:rsid w:val="00486FD4"/>
    <w:rsid w:val="00490D69"/>
    <w:rsid w:val="00492BED"/>
    <w:rsid w:val="00494E23"/>
    <w:rsid w:val="00495518"/>
    <w:rsid w:val="004B2601"/>
    <w:rsid w:val="004B3BDA"/>
    <w:rsid w:val="004C3A43"/>
    <w:rsid w:val="004D0132"/>
    <w:rsid w:val="004D149D"/>
    <w:rsid w:val="004D579E"/>
    <w:rsid w:val="004E657E"/>
    <w:rsid w:val="004E786E"/>
    <w:rsid w:val="004F60A8"/>
    <w:rsid w:val="004F7702"/>
    <w:rsid w:val="0050129A"/>
    <w:rsid w:val="0050675D"/>
    <w:rsid w:val="00507711"/>
    <w:rsid w:val="00512EE0"/>
    <w:rsid w:val="00515177"/>
    <w:rsid w:val="005153B3"/>
    <w:rsid w:val="00517273"/>
    <w:rsid w:val="005222D4"/>
    <w:rsid w:val="00524C8B"/>
    <w:rsid w:val="00532B0A"/>
    <w:rsid w:val="00542C69"/>
    <w:rsid w:val="005433CA"/>
    <w:rsid w:val="00547F42"/>
    <w:rsid w:val="00552637"/>
    <w:rsid w:val="005573D1"/>
    <w:rsid w:val="00563247"/>
    <w:rsid w:val="00570753"/>
    <w:rsid w:val="00571F2B"/>
    <w:rsid w:val="00571F74"/>
    <w:rsid w:val="005754AD"/>
    <w:rsid w:val="00575ECF"/>
    <w:rsid w:val="00580596"/>
    <w:rsid w:val="0058248C"/>
    <w:rsid w:val="0058413E"/>
    <w:rsid w:val="00585F05"/>
    <w:rsid w:val="00586CF5"/>
    <w:rsid w:val="00586FC2"/>
    <w:rsid w:val="00590FB4"/>
    <w:rsid w:val="005A16FB"/>
    <w:rsid w:val="005A212B"/>
    <w:rsid w:val="005A68BA"/>
    <w:rsid w:val="005B2170"/>
    <w:rsid w:val="005C1BAE"/>
    <w:rsid w:val="005C502A"/>
    <w:rsid w:val="005D1A5C"/>
    <w:rsid w:val="005D362B"/>
    <w:rsid w:val="005E19EB"/>
    <w:rsid w:val="005E1BF3"/>
    <w:rsid w:val="005E54AD"/>
    <w:rsid w:val="005E6322"/>
    <w:rsid w:val="005F2E77"/>
    <w:rsid w:val="005F312F"/>
    <w:rsid w:val="005F7543"/>
    <w:rsid w:val="005F7640"/>
    <w:rsid w:val="00600324"/>
    <w:rsid w:val="00602A47"/>
    <w:rsid w:val="006115F8"/>
    <w:rsid w:val="00611AD0"/>
    <w:rsid w:val="00612E79"/>
    <w:rsid w:val="00614229"/>
    <w:rsid w:val="00617EE7"/>
    <w:rsid w:val="00624C5C"/>
    <w:rsid w:val="0063421E"/>
    <w:rsid w:val="006355FD"/>
    <w:rsid w:val="00641E53"/>
    <w:rsid w:val="00642D7D"/>
    <w:rsid w:val="00652037"/>
    <w:rsid w:val="00662B38"/>
    <w:rsid w:val="00662E25"/>
    <w:rsid w:val="0067102A"/>
    <w:rsid w:val="00676626"/>
    <w:rsid w:val="00680FC1"/>
    <w:rsid w:val="0068567D"/>
    <w:rsid w:val="006A4B1E"/>
    <w:rsid w:val="006A7DD6"/>
    <w:rsid w:val="006C1C23"/>
    <w:rsid w:val="006C478C"/>
    <w:rsid w:val="006C58EF"/>
    <w:rsid w:val="006D144B"/>
    <w:rsid w:val="006E1D97"/>
    <w:rsid w:val="006F453D"/>
    <w:rsid w:val="00706AA0"/>
    <w:rsid w:val="007071D2"/>
    <w:rsid w:val="0070736E"/>
    <w:rsid w:val="00707CC1"/>
    <w:rsid w:val="0071235F"/>
    <w:rsid w:val="007141C7"/>
    <w:rsid w:val="0072396A"/>
    <w:rsid w:val="00723D33"/>
    <w:rsid w:val="00726D40"/>
    <w:rsid w:val="0073122E"/>
    <w:rsid w:val="007336DF"/>
    <w:rsid w:val="007422D2"/>
    <w:rsid w:val="00744041"/>
    <w:rsid w:val="00745758"/>
    <w:rsid w:val="00747183"/>
    <w:rsid w:val="00755895"/>
    <w:rsid w:val="007647BC"/>
    <w:rsid w:val="0076658B"/>
    <w:rsid w:val="0077042E"/>
    <w:rsid w:val="00782432"/>
    <w:rsid w:val="00783578"/>
    <w:rsid w:val="007874E1"/>
    <w:rsid w:val="00787F80"/>
    <w:rsid w:val="007B0286"/>
    <w:rsid w:val="007B4CED"/>
    <w:rsid w:val="007B674B"/>
    <w:rsid w:val="007C0BF6"/>
    <w:rsid w:val="007C1AF9"/>
    <w:rsid w:val="007C22F8"/>
    <w:rsid w:val="007C7134"/>
    <w:rsid w:val="007D04C3"/>
    <w:rsid w:val="007D5D69"/>
    <w:rsid w:val="007D63D4"/>
    <w:rsid w:val="007D7EFD"/>
    <w:rsid w:val="007F4451"/>
    <w:rsid w:val="007F5FE4"/>
    <w:rsid w:val="007F628B"/>
    <w:rsid w:val="007F7480"/>
    <w:rsid w:val="0080043A"/>
    <w:rsid w:val="00801CCC"/>
    <w:rsid w:val="00811F6E"/>
    <w:rsid w:val="008147C3"/>
    <w:rsid w:val="008209D1"/>
    <w:rsid w:val="00821D60"/>
    <w:rsid w:val="00825DED"/>
    <w:rsid w:val="00833CAB"/>
    <w:rsid w:val="008360AC"/>
    <w:rsid w:val="00836214"/>
    <w:rsid w:val="00840454"/>
    <w:rsid w:val="00846E58"/>
    <w:rsid w:val="00850420"/>
    <w:rsid w:val="00856804"/>
    <w:rsid w:val="00865204"/>
    <w:rsid w:val="0086522D"/>
    <w:rsid w:val="00867482"/>
    <w:rsid w:val="0087437D"/>
    <w:rsid w:val="00874F0C"/>
    <w:rsid w:val="008778AD"/>
    <w:rsid w:val="00886B3C"/>
    <w:rsid w:val="008A1344"/>
    <w:rsid w:val="008A3CBE"/>
    <w:rsid w:val="008A616D"/>
    <w:rsid w:val="008A68C3"/>
    <w:rsid w:val="008A7740"/>
    <w:rsid w:val="008B6CD9"/>
    <w:rsid w:val="008B7632"/>
    <w:rsid w:val="008C25B7"/>
    <w:rsid w:val="008C3ECB"/>
    <w:rsid w:val="008C4749"/>
    <w:rsid w:val="008D15CE"/>
    <w:rsid w:val="008D7662"/>
    <w:rsid w:val="008E07FC"/>
    <w:rsid w:val="008E245C"/>
    <w:rsid w:val="008E26E7"/>
    <w:rsid w:val="008E3C4F"/>
    <w:rsid w:val="008E689B"/>
    <w:rsid w:val="008F3882"/>
    <w:rsid w:val="008F6324"/>
    <w:rsid w:val="00904BC5"/>
    <w:rsid w:val="00907814"/>
    <w:rsid w:val="009130D0"/>
    <w:rsid w:val="00915EB6"/>
    <w:rsid w:val="00916451"/>
    <w:rsid w:val="00917181"/>
    <w:rsid w:val="009205A8"/>
    <w:rsid w:val="00921792"/>
    <w:rsid w:val="00925856"/>
    <w:rsid w:val="00925CC6"/>
    <w:rsid w:val="009348C9"/>
    <w:rsid w:val="00934D20"/>
    <w:rsid w:val="00935952"/>
    <w:rsid w:val="00935A23"/>
    <w:rsid w:val="00935F5A"/>
    <w:rsid w:val="0093772D"/>
    <w:rsid w:val="009406C4"/>
    <w:rsid w:val="00942E67"/>
    <w:rsid w:val="009431CA"/>
    <w:rsid w:val="009438BE"/>
    <w:rsid w:val="009504C5"/>
    <w:rsid w:val="00951878"/>
    <w:rsid w:val="00951DC5"/>
    <w:rsid w:val="00952634"/>
    <w:rsid w:val="0095543A"/>
    <w:rsid w:val="009707A4"/>
    <w:rsid w:val="00971B62"/>
    <w:rsid w:val="009748AF"/>
    <w:rsid w:val="00975524"/>
    <w:rsid w:val="00991A79"/>
    <w:rsid w:val="00991AC7"/>
    <w:rsid w:val="0099513C"/>
    <w:rsid w:val="009952EC"/>
    <w:rsid w:val="00995EE4"/>
    <w:rsid w:val="009A315F"/>
    <w:rsid w:val="009A6ABF"/>
    <w:rsid w:val="009B1479"/>
    <w:rsid w:val="009B4851"/>
    <w:rsid w:val="009B7724"/>
    <w:rsid w:val="009C402F"/>
    <w:rsid w:val="009C55F7"/>
    <w:rsid w:val="009C61DE"/>
    <w:rsid w:val="009C7AC4"/>
    <w:rsid w:val="009D1B4D"/>
    <w:rsid w:val="009D4062"/>
    <w:rsid w:val="009E3068"/>
    <w:rsid w:val="009E3F9E"/>
    <w:rsid w:val="009E5E6E"/>
    <w:rsid w:val="009E6ED6"/>
    <w:rsid w:val="009F21E8"/>
    <w:rsid w:val="009F26F2"/>
    <w:rsid w:val="009F40B4"/>
    <w:rsid w:val="009F4F4D"/>
    <w:rsid w:val="009F5084"/>
    <w:rsid w:val="009F69D8"/>
    <w:rsid w:val="009F6D5D"/>
    <w:rsid w:val="009F7AF7"/>
    <w:rsid w:val="00A00BBF"/>
    <w:rsid w:val="00A025BA"/>
    <w:rsid w:val="00A040E5"/>
    <w:rsid w:val="00A11D2C"/>
    <w:rsid w:val="00A12C89"/>
    <w:rsid w:val="00A16D7A"/>
    <w:rsid w:val="00A17DEE"/>
    <w:rsid w:val="00A30076"/>
    <w:rsid w:val="00A36A4E"/>
    <w:rsid w:val="00A4686B"/>
    <w:rsid w:val="00A55F6F"/>
    <w:rsid w:val="00A64260"/>
    <w:rsid w:val="00A65351"/>
    <w:rsid w:val="00A740AE"/>
    <w:rsid w:val="00A840C9"/>
    <w:rsid w:val="00A84A25"/>
    <w:rsid w:val="00A87954"/>
    <w:rsid w:val="00A87CB1"/>
    <w:rsid w:val="00A9107B"/>
    <w:rsid w:val="00A91A3C"/>
    <w:rsid w:val="00A91DB1"/>
    <w:rsid w:val="00A97EDC"/>
    <w:rsid w:val="00AA5BF8"/>
    <w:rsid w:val="00AA610E"/>
    <w:rsid w:val="00AB1F82"/>
    <w:rsid w:val="00AB4245"/>
    <w:rsid w:val="00AB4EEC"/>
    <w:rsid w:val="00AC0017"/>
    <w:rsid w:val="00AC14EC"/>
    <w:rsid w:val="00AC1C0D"/>
    <w:rsid w:val="00AC1F62"/>
    <w:rsid w:val="00AC701C"/>
    <w:rsid w:val="00AC73DE"/>
    <w:rsid w:val="00AD0231"/>
    <w:rsid w:val="00AD0F01"/>
    <w:rsid w:val="00AD0F97"/>
    <w:rsid w:val="00AE079F"/>
    <w:rsid w:val="00AE4496"/>
    <w:rsid w:val="00AF2062"/>
    <w:rsid w:val="00AF2195"/>
    <w:rsid w:val="00AF3D08"/>
    <w:rsid w:val="00AF6ED6"/>
    <w:rsid w:val="00AF7D9A"/>
    <w:rsid w:val="00AF7D9B"/>
    <w:rsid w:val="00B048F1"/>
    <w:rsid w:val="00B05104"/>
    <w:rsid w:val="00B078D5"/>
    <w:rsid w:val="00B1363E"/>
    <w:rsid w:val="00B151E7"/>
    <w:rsid w:val="00B23AB1"/>
    <w:rsid w:val="00B2672A"/>
    <w:rsid w:val="00B31D11"/>
    <w:rsid w:val="00B42B19"/>
    <w:rsid w:val="00B4509A"/>
    <w:rsid w:val="00B5715C"/>
    <w:rsid w:val="00B574BF"/>
    <w:rsid w:val="00B6027D"/>
    <w:rsid w:val="00B615C6"/>
    <w:rsid w:val="00B623EA"/>
    <w:rsid w:val="00B71BF9"/>
    <w:rsid w:val="00B754F6"/>
    <w:rsid w:val="00B760C4"/>
    <w:rsid w:val="00B81FA1"/>
    <w:rsid w:val="00B8309A"/>
    <w:rsid w:val="00B84674"/>
    <w:rsid w:val="00B84C21"/>
    <w:rsid w:val="00BA09C9"/>
    <w:rsid w:val="00BA5A50"/>
    <w:rsid w:val="00BA5F04"/>
    <w:rsid w:val="00BA70A5"/>
    <w:rsid w:val="00BC0705"/>
    <w:rsid w:val="00BC1238"/>
    <w:rsid w:val="00BD1556"/>
    <w:rsid w:val="00BD5FB8"/>
    <w:rsid w:val="00BE4DF5"/>
    <w:rsid w:val="00BE6E8B"/>
    <w:rsid w:val="00BE70AB"/>
    <w:rsid w:val="00BF19A1"/>
    <w:rsid w:val="00BF1A99"/>
    <w:rsid w:val="00BF4BD4"/>
    <w:rsid w:val="00BF56E2"/>
    <w:rsid w:val="00BF5ACF"/>
    <w:rsid w:val="00C07D34"/>
    <w:rsid w:val="00C116C3"/>
    <w:rsid w:val="00C24B59"/>
    <w:rsid w:val="00C42CD3"/>
    <w:rsid w:val="00C45950"/>
    <w:rsid w:val="00C60A21"/>
    <w:rsid w:val="00C62DC5"/>
    <w:rsid w:val="00C640EC"/>
    <w:rsid w:val="00C70818"/>
    <w:rsid w:val="00C70E18"/>
    <w:rsid w:val="00C71264"/>
    <w:rsid w:val="00C71B2B"/>
    <w:rsid w:val="00C7618C"/>
    <w:rsid w:val="00C80616"/>
    <w:rsid w:val="00C8593E"/>
    <w:rsid w:val="00C8636E"/>
    <w:rsid w:val="00C96437"/>
    <w:rsid w:val="00C96B5D"/>
    <w:rsid w:val="00CA169E"/>
    <w:rsid w:val="00CB603D"/>
    <w:rsid w:val="00CB7131"/>
    <w:rsid w:val="00CC4305"/>
    <w:rsid w:val="00CD2220"/>
    <w:rsid w:val="00CD26B1"/>
    <w:rsid w:val="00CD4256"/>
    <w:rsid w:val="00CE5B77"/>
    <w:rsid w:val="00CF1596"/>
    <w:rsid w:val="00CF4731"/>
    <w:rsid w:val="00CF6280"/>
    <w:rsid w:val="00CF653C"/>
    <w:rsid w:val="00CF672D"/>
    <w:rsid w:val="00D075C4"/>
    <w:rsid w:val="00D13BAB"/>
    <w:rsid w:val="00D146C3"/>
    <w:rsid w:val="00D26944"/>
    <w:rsid w:val="00D31316"/>
    <w:rsid w:val="00D333EA"/>
    <w:rsid w:val="00D3598A"/>
    <w:rsid w:val="00D404CB"/>
    <w:rsid w:val="00D43320"/>
    <w:rsid w:val="00D45451"/>
    <w:rsid w:val="00D504E6"/>
    <w:rsid w:val="00D51F08"/>
    <w:rsid w:val="00D5233D"/>
    <w:rsid w:val="00D53B6F"/>
    <w:rsid w:val="00D53E23"/>
    <w:rsid w:val="00D57CC6"/>
    <w:rsid w:val="00D61E17"/>
    <w:rsid w:val="00D70FE1"/>
    <w:rsid w:val="00D71F94"/>
    <w:rsid w:val="00D7339F"/>
    <w:rsid w:val="00D749A8"/>
    <w:rsid w:val="00D83F8E"/>
    <w:rsid w:val="00DA1306"/>
    <w:rsid w:val="00DA7DE9"/>
    <w:rsid w:val="00DB3173"/>
    <w:rsid w:val="00DC7E34"/>
    <w:rsid w:val="00DD1988"/>
    <w:rsid w:val="00DD25B4"/>
    <w:rsid w:val="00DD6E76"/>
    <w:rsid w:val="00DE1FAF"/>
    <w:rsid w:val="00DE6A8D"/>
    <w:rsid w:val="00DE7EF6"/>
    <w:rsid w:val="00DF0E09"/>
    <w:rsid w:val="00DF37E4"/>
    <w:rsid w:val="00DF4E66"/>
    <w:rsid w:val="00DF7025"/>
    <w:rsid w:val="00E008ED"/>
    <w:rsid w:val="00E00C87"/>
    <w:rsid w:val="00E00DF0"/>
    <w:rsid w:val="00E04632"/>
    <w:rsid w:val="00E0518B"/>
    <w:rsid w:val="00E16EB9"/>
    <w:rsid w:val="00E21F86"/>
    <w:rsid w:val="00E255E3"/>
    <w:rsid w:val="00E364E5"/>
    <w:rsid w:val="00E5418C"/>
    <w:rsid w:val="00E543AA"/>
    <w:rsid w:val="00E562C2"/>
    <w:rsid w:val="00E61ED3"/>
    <w:rsid w:val="00E65C99"/>
    <w:rsid w:val="00E71BC8"/>
    <w:rsid w:val="00E841A8"/>
    <w:rsid w:val="00E912AD"/>
    <w:rsid w:val="00E92C92"/>
    <w:rsid w:val="00EB10D0"/>
    <w:rsid w:val="00EB13B7"/>
    <w:rsid w:val="00EB2F93"/>
    <w:rsid w:val="00EC6A12"/>
    <w:rsid w:val="00ED2974"/>
    <w:rsid w:val="00ED2D2B"/>
    <w:rsid w:val="00ED52F9"/>
    <w:rsid w:val="00ED5F0E"/>
    <w:rsid w:val="00ED67D2"/>
    <w:rsid w:val="00ED68DB"/>
    <w:rsid w:val="00EE1056"/>
    <w:rsid w:val="00EE457F"/>
    <w:rsid w:val="00EE52FF"/>
    <w:rsid w:val="00EE7204"/>
    <w:rsid w:val="00F07408"/>
    <w:rsid w:val="00F113B5"/>
    <w:rsid w:val="00F1241B"/>
    <w:rsid w:val="00F202C1"/>
    <w:rsid w:val="00F2248B"/>
    <w:rsid w:val="00F2264D"/>
    <w:rsid w:val="00F23A7B"/>
    <w:rsid w:val="00F27D92"/>
    <w:rsid w:val="00F31BC5"/>
    <w:rsid w:val="00F33039"/>
    <w:rsid w:val="00F363B8"/>
    <w:rsid w:val="00F44D50"/>
    <w:rsid w:val="00F53F1B"/>
    <w:rsid w:val="00F54ED8"/>
    <w:rsid w:val="00F563D6"/>
    <w:rsid w:val="00F56A81"/>
    <w:rsid w:val="00F56BB7"/>
    <w:rsid w:val="00F602F8"/>
    <w:rsid w:val="00F60478"/>
    <w:rsid w:val="00F60BD3"/>
    <w:rsid w:val="00F61DCA"/>
    <w:rsid w:val="00F6273D"/>
    <w:rsid w:val="00F73A59"/>
    <w:rsid w:val="00F8360C"/>
    <w:rsid w:val="00F969DE"/>
    <w:rsid w:val="00FA2EB2"/>
    <w:rsid w:val="00FA703C"/>
    <w:rsid w:val="00FC1334"/>
    <w:rsid w:val="00FC2DAD"/>
    <w:rsid w:val="00FC4391"/>
    <w:rsid w:val="00FC6377"/>
    <w:rsid w:val="00FD1660"/>
    <w:rsid w:val="00FE0586"/>
    <w:rsid w:val="00FE0FF6"/>
    <w:rsid w:val="00FE489D"/>
    <w:rsid w:val="00FE71CC"/>
    <w:rsid w:val="00FE73F2"/>
    <w:rsid w:val="00FE7827"/>
    <w:rsid w:val="00FF36C1"/>
    <w:rsid w:val="1EBBC9D8"/>
    <w:rsid w:val="3BFA28E1"/>
    <w:rsid w:val="3BFF1A83"/>
    <w:rsid w:val="3D6D0381"/>
    <w:rsid w:val="3D9E3752"/>
    <w:rsid w:val="3DF7A9E8"/>
    <w:rsid w:val="4E62200B"/>
    <w:rsid w:val="5BBA6F1F"/>
    <w:rsid w:val="5DA76EFC"/>
    <w:rsid w:val="5FAF255F"/>
    <w:rsid w:val="675FCB57"/>
    <w:rsid w:val="67FB6DA7"/>
    <w:rsid w:val="6A785C62"/>
    <w:rsid w:val="6F2F537B"/>
    <w:rsid w:val="6FAF8257"/>
    <w:rsid w:val="77FB61CA"/>
    <w:rsid w:val="79C1BE26"/>
    <w:rsid w:val="7BEB852C"/>
    <w:rsid w:val="7BFC93B5"/>
    <w:rsid w:val="7EFFB344"/>
    <w:rsid w:val="7F5F9B8D"/>
    <w:rsid w:val="7FFE3886"/>
    <w:rsid w:val="8776885F"/>
    <w:rsid w:val="8D5FE234"/>
    <w:rsid w:val="AFAE6E59"/>
    <w:rsid w:val="B18FD528"/>
    <w:rsid w:val="B4F50E70"/>
    <w:rsid w:val="B5FA75BA"/>
    <w:rsid w:val="B98999A5"/>
    <w:rsid w:val="BEFDDDA0"/>
    <w:rsid w:val="D65E01A8"/>
    <w:rsid w:val="DAFF1335"/>
    <w:rsid w:val="DDFFE5C7"/>
    <w:rsid w:val="DE556987"/>
    <w:rsid w:val="EF3F1540"/>
    <w:rsid w:val="F6DBF2FD"/>
    <w:rsid w:val="F7FF3AAF"/>
    <w:rsid w:val="FB86DF37"/>
    <w:rsid w:val="FBFB6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Normal Indent"/>
    <w:basedOn w:val="1"/>
    <w:qFormat/>
    <w:uiPriority w:val="0"/>
    <w:pPr>
      <w:ind w:firstLine="420" w:firstLineChars="20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批注框文本 Char"/>
    <w:basedOn w:val="8"/>
    <w:link w:val="4"/>
    <w:semiHidden/>
    <w:qFormat/>
    <w:uiPriority w:val="99"/>
    <w:rPr>
      <w:sz w:val="18"/>
      <w:szCs w:val="18"/>
    </w:rPr>
  </w:style>
  <w:style w:type="paragraph" w:customStyle="1" w:styleId="12">
    <w:name w:val="Char Char Char Char Char Char Char Char Char Char Char Char Char Char"/>
    <w:qFormat/>
    <w:uiPriority w:val="0"/>
    <w:pPr>
      <w:widowControl w:val="0"/>
      <w:spacing w:line="480" w:lineRule="auto"/>
      <w:ind w:firstLine="200" w:firstLineChars="200"/>
      <w:jc w:val="both"/>
    </w:pPr>
    <w:rPr>
      <w:rFonts w:ascii="Times New Roman" w:hAnsi="Times New Roman" w:eastAsia="仿宋_GB2312" w:cs="Times New Roman"/>
      <w:kern w:val="2"/>
      <w:sz w:val="24"/>
      <w:szCs w:val="24"/>
      <w:lang w:val="en-US" w:eastAsia="zh-CN" w:bidi="ar-SA"/>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717</Words>
  <Characters>4087</Characters>
  <Lines>34</Lines>
  <Paragraphs>9</Paragraphs>
  <TotalTime>5</TotalTime>
  <ScaleCrop>false</ScaleCrop>
  <LinksUpToDate>false</LinksUpToDate>
  <CharactersWithSpaces>4795</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2023-02-09T11:30:00Z</dcterms:created>
  <dc:creator>NTKO</dc:creator>
  <cp:lastModifiedBy>jyzx</cp:lastModifiedBy>
  <cp:lastPrinted>2023-02-09T10:57:00Z</cp:lastPrinted>
  <dcterms:modified xsi:type="dcterms:W3CDTF">2023-02-10T13:17:11Z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