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sz w:val="44"/>
          <w:szCs w:val="44"/>
          <w:lang w:val="en"/>
        </w:rPr>
      </w:pPr>
    </w:p>
    <w:p>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
        </w:rPr>
        <w:t>202</w:t>
      </w:r>
      <w:r>
        <w:rPr>
          <w:rFonts w:hint="eastAsia" w:ascii="方正小标宋简体" w:hAnsi="方正小标宋简体" w:eastAsia="方正小标宋简体" w:cs="方正小标宋简体"/>
          <w:sz w:val="44"/>
          <w:szCs w:val="44"/>
        </w:rPr>
        <w:t>2年度</w:t>
      </w:r>
      <w:r>
        <w:rPr>
          <w:rFonts w:hint="eastAsia" w:ascii="方正小标宋简体" w:hAnsi="方正小标宋简体" w:eastAsia="方正小标宋简体" w:cs="方正小标宋简体"/>
          <w:sz w:val="44"/>
          <w:szCs w:val="44"/>
          <w:lang w:eastAsia="zh-CN"/>
        </w:rPr>
        <w:t>个人</w:t>
      </w:r>
      <w:r>
        <w:rPr>
          <w:rFonts w:ascii="方正小标宋简体" w:hAnsi="方正小标宋简体" w:eastAsia="方正小标宋简体" w:cs="方正小标宋简体"/>
          <w:sz w:val="44"/>
          <w:szCs w:val="44"/>
        </w:rPr>
        <w:t>述职报告</w:t>
      </w:r>
      <w:bookmarkStart w:id="0" w:name="_GoBack"/>
      <w:bookmarkEnd w:id="0"/>
    </w:p>
    <w:p>
      <w:pPr>
        <w:spacing w:line="700" w:lineRule="exact"/>
        <w:jc w:val="center"/>
        <w:rPr>
          <w:rFonts w:ascii="楷体" w:hAnsi="Calibri" w:eastAsia="楷体" w:cs="Times New Roman"/>
          <w:sz w:val="32"/>
          <w:szCs w:val="32"/>
        </w:rPr>
      </w:pPr>
      <w:r>
        <w:rPr>
          <w:rFonts w:hint="eastAsia" w:ascii="楷体" w:hAnsi="Calibri" w:eastAsia="楷体" w:cs="Times New Roman"/>
          <w:sz w:val="32"/>
          <w:szCs w:val="32"/>
        </w:rPr>
        <w:t>省公共资源交易中心党组成员、副主任  牛顺生</w:t>
      </w:r>
    </w:p>
    <w:p>
      <w:pPr>
        <w:spacing w:line="700" w:lineRule="exact"/>
        <w:jc w:val="center"/>
        <w:rPr>
          <w:rFonts w:ascii="楷体" w:hAnsi="Calibri" w:eastAsia="楷体" w:cs="Times New Roman"/>
          <w:sz w:val="32"/>
          <w:szCs w:val="32"/>
        </w:rPr>
      </w:pPr>
      <w:r>
        <w:rPr>
          <w:rFonts w:hint="eastAsia" w:ascii="楷体" w:hAnsi="Calibri" w:eastAsia="楷体" w:cs="Times New Roman"/>
          <w:sz w:val="32"/>
          <w:szCs w:val="32"/>
        </w:rPr>
        <w:t>（2023年2月10日）</w:t>
      </w:r>
    </w:p>
    <w:p>
      <w:pPr>
        <w:pStyle w:val="2"/>
        <w:rPr>
          <w:rFonts w:hint="eastAsia"/>
        </w:rPr>
      </w:pPr>
    </w:p>
    <w:p>
      <w:pPr>
        <w:widowControl/>
        <w:shd w:val="clear" w:color="auto" w:fill="FFFFFF"/>
        <w:ind w:firstLine="640" w:firstLineChars="200"/>
        <w:outlineLvl w:val="2"/>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一年来，我始终坚持以习近平新时代中国特色社会主义思想为指导，深入学习贯彻党的二十大精神，认真贯彻落实党中央重大决策部署和省委省政府工作要求，围绕中心、服务大局，在中心党组的坚强领导和分管部室的共同努力下，实干笃行、</w:t>
      </w:r>
      <w:r>
        <w:fldChar w:fldCharType="begin"/>
      </w:r>
      <w:r>
        <w:instrText xml:space="preserve"> HYPERLINK "http://www.baidu.com/link?url=Ltb2wttKw6pBv-DFGt5E16E2pnkIiANPXveTUT7MTuct-YBxsqwiGsKIIGTYoflvtT2kHvSTWOwGbM2TGegXzVtX-raXw-TCvhqyvk22d6m" \t "/home/jyzx/文档\x/_blank" </w:instrText>
      </w:r>
      <w:r>
        <w:fldChar w:fldCharType="separate"/>
      </w:r>
      <w:r>
        <w:rPr>
          <w:rFonts w:hint="eastAsia" w:ascii="仿宋_GB2312" w:hAnsi="仿宋_GB2312" w:eastAsia="仿宋_GB2312" w:cs="仿宋_GB2312"/>
          <w:kern w:val="0"/>
          <w:sz w:val="32"/>
          <w:szCs w:val="32"/>
          <w:lang w:bidi="ar"/>
        </w:rPr>
        <w:t>奋楫争先</w:t>
      </w:r>
      <w:r>
        <w:rPr>
          <w:rFonts w:hint="eastAsia" w:ascii="仿宋_GB2312" w:hAnsi="仿宋_GB2312" w:eastAsia="仿宋_GB2312" w:cs="仿宋_GB2312"/>
          <w:kern w:val="0"/>
          <w:sz w:val="32"/>
          <w:szCs w:val="32"/>
          <w:lang w:bidi="ar"/>
        </w:rPr>
        <w:fldChar w:fldCharType="end"/>
      </w:r>
      <w:r>
        <w:rPr>
          <w:rFonts w:hint="eastAsia" w:ascii="仿宋_GB2312" w:hAnsi="仿宋_GB2312" w:eastAsia="仿宋_GB2312" w:cs="仿宋_GB2312"/>
          <w:kern w:val="0"/>
          <w:sz w:val="32"/>
          <w:szCs w:val="32"/>
          <w:lang w:bidi="ar"/>
        </w:rPr>
        <w:t>，坚持稳中求进、高效突破，以高质量党建引领高质量发展，着力提升推动高效率现场服务，持续推进信息化建设升级，切实推动干部队伍焕发新气象、展现新面貌，各项分管工作做出新实绩、取得新实效。现将一年来的履职情况总结如下：</w:t>
      </w:r>
    </w:p>
    <w:p>
      <w:pPr>
        <w:ind w:firstLine="640" w:firstLineChars="200"/>
        <w:rPr>
          <w:rFonts w:ascii="黑体" w:hAnsi="黑体" w:eastAsia="黑体" w:cs="黑体"/>
          <w:sz w:val="32"/>
          <w:szCs w:val="32"/>
        </w:rPr>
      </w:pPr>
      <w:r>
        <w:rPr>
          <w:rFonts w:hint="eastAsia" w:ascii="黑体" w:hAnsi="黑体" w:eastAsia="黑体" w:cs="黑体"/>
          <w:sz w:val="32"/>
          <w:szCs w:val="32"/>
        </w:rPr>
        <w:t>一、坚定政治方向，紧扣常态长效，强化理论武装</w:t>
      </w:r>
    </w:p>
    <w:p>
      <w:pPr>
        <w:widowControl/>
        <w:shd w:val="clear" w:color="auto" w:fill="FFFFFF"/>
        <w:ind w:firstLine="640" w:firstLineChars="200"/>
        <w:outlineLvl w:val="2"/>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始终坚持以政治引领强化思想建设，以政治引领夯实信仰根基，深入学习领会习近平新时代中国特色社会主义思想和党的二十大精神，以勤学深悟提升理论素养，以示范表率带动学习热潮，以学以致用强化履职担当。</w:t>
      </w:r>
      <w:r>
        <w:rPr>
          <w:rFonts w:hint="eastAsia" w:ascii="楷体" w:hAnsi="楷体" w:eastAsia="楷体" w:cs="楷体"/>
          <w:b/>
          <w:bCs/>
          <w:kern w:val="0"/>
          <w:sz w:val="32"/>
          <w:szCs w:val="32"/>
          <w:lang w:bidi="ar"/>
        </w:rPr>
        <w:t>一是持之以恒自觉学，强化理论入脑入心。</w:t>
      </w:r>
      <w:r>
        <w:rPr>
          <w:rFonts w:hint="eastAsia" w:ascii="仿宋_GB2312" w:hAnsi="仿宋_GB2312" w:eastAsia="仿宋_GB2312" w:cs="仿宋_GB2312"/>
          <w:kern w:val="0"/>
          <w:sz w:val="32"/>
          <w:szCs w:val="32"/>
          <w:lang w:bidi="ar"/>
        </w:rPr>
        <w:t>勤于学习，把学习作为一种政治责任、一种生活常态，保持每天至少1小时的学习时间，通过读原著原文，坚持运用学习强国平台与时俱进学习，学习积分位列中心前列。深入研读党的十八大以来历次中央全会的报告文件和习近平总书记系列重要讲话精神，潜心参悟党的二十大精神实质，准确把握“两个确立”的决定性意义，做到学有所思、思有所悟，积极撰写学习体会，在党组中心组集体学习中作了《深学笃行明方向 踔厉奋发谱新章》等6次专题发言，</w:t>
      </w:r>
      <w:r>
        <w:rPr>
          <w:rFonts w:hint="eastAsia" w:ascii="仿宋_GB2312" w:hAnsi="仿宋_GB2312" w:eastAsia="仿宋_GB2312" w:cs="仿宋_GB2312"/>
          <w:kern w:val="0"/>
          <w:sz w:val="32"/>
          <w:szCs w:val="32"/>
          <w:lang w:val="en" w:bidi="ar"/>
        </w:rPr>
        <w:t>切实把学习成效转化为理论武装，</w:t>
      </w:r>
      <w:r>
        <w:rPr>
          <w:rFonts w:hint="eastAsia" w:ascii="仿宋_GB2312" w:hAnsi="仿宋_GB2312" w:eastAsia="仿宋_GB2312" w:cs="仿宋_GB2312"/>
          <w:kern w:val="0"/>
          <w:sz w:val="32"/>
          <w:szCs w:val="32"/>
          <w:lang w:bidi="ar"/>
        </w:rPr>
        <w:t>切实增强了忠诚核心、维护核心、紧跟核心、捍卫核心的的思想自觉、政治自觉、行动自觉。</w:t>
      </w:r>
      <w:r>
        <w:rPr>
          <w:rFonts w:hint="eastAsia" w:ascii="楷体" w:hAnsi="楷体" w:eastAsia="楷体" w:cs="楷体"/>
          <w:b/>
          <w:bCs/>
          <w:kern w:val="0"/>
          <w:sz w:val="32"/>
          <w:szCs w:val="32"/>
          <w:lang w:bidi="ar"/>
        </w:rPr>
        <w:t>二是创新方式引领学，推动研学成型成势。</w:t>
      </w:r>
      <w:r>
        <w:rPr>
          <w:rFonts w:hint="eastAsia" w:ascii="仿宋_GB2312" w:hAnsi="仿宋_GB2312" w:eastAsia="仿宋_GB2312" w:cs="仿宋_GB2312"/>
          <w:kern w:val="0"/>
          <w:sz w:val="32"/>
          <w:szCs w:val="32"/>
          <w:lang w:bidi="ar"/>
        </w:rPr>
        <w:t>深化以党组理论学习中心组为龙头、以党员领导干部为重点、以全体党员干部为主体的理论学习格局，科学制定计划，创新组织模式，采用“网上学、阵地学、现场学、书本学”四种方式,推动“领导干部带头讲、专家专题深入讲、个人感悟真心讲”三种模式，全年开展理论学习中心组集中学习16次，4次邀请专家进行专题辅导授课，落实周五“支部学习日”制度，推动各支部全年开展集体学习30次以上。建立“比学赶超帮”学习机制，开展了“四类标兵”评比活动，党员干部积极撰写学习心得，全年共撰写心得体会180余篇，形成了多角度、多方位、多层次理论学习热潮。</w:t>
      </w:r>
      <w:r>
        <w:rPr>
          <w:rFonts w:hint="eastAsia" w:ascii="楷体" w:hAnsi="楷体" w:eastAsia="楷体" w:cs="楷体"/>
          <w:b/>
          <w:bCs/>
          <w:kern w:val="0"/>
          <w:sz w:val="32"/>
          <w:szCs w:val="32"/>
          <w:lang w:bidi="ar"/>
        </w:rPr>
        <w:t>三是结合工作务实学，转化成果见行见效。</w:t>
      </w:r>
      <w:r>
        <w:rPr>
          <w:rFonts w:hint="eastAsia" w:ascii="仿宋_GB2312" w:hAnsi="仿宋_GB2312" w:eastAsia="仿宋_GB2312" w:cs="仿宋_GB2312"/>
          <w:kern w:val="0"/>
          <w:sz w:val="32"/>
          <w:szCs w:val="32"/>
          <w:lang w:bidi="ar"/>
        </w:rPr>
        <w:t>将理论学习与总结经验结合起来，转化为谋划发展实效，统一规划信息化建设部署，坚定推动党中央决策部署和省委工作要求落地生根、开花结果；与观照现实结合起来，转化为提升能力实效，坚持守正创新，以公共资源交易标准化、规范化、便捷化建设为抓手,从优从快全面提质交易平台建设，增强交易平台容载能力，全面推进各行业交易实现全流程电子化，远程异地评标常态化，构建公共资源交易“数智化”新格局。与推动发展结合起来，转化为为民服务实效，以优化营商环境为导向，树牢宗旨意识，持续深化“我为群众办实事”实践活动，以市场主体关切的急难愁盼问题为切入点，优化交易流程、简化办事流程，着力提高市场主体满意度，实现公共资源交易服务亲民、惠民、便民。</w:t>
      </w:r>
    </w:p>
    <w:p>
      <w:pPr>
        <w:ind w:firstLine="640" w:firstLineChars="200"/>
        <w:rPr>
          <w:rFonts w:ascii="黑体" w:hAnsi="黑体" w:eastAsia="黑体" w:cs="黑体"/>
          <w:sz w:val="32"/>
          <w:szCs w:val="32"/>
        </w:rPr>
      </w:pPr>
      <w:r>
        <w:rPr>
          <w:rFonts w:hint="eastAsia" w:ascii="黑体" w:hAnsi="黑体" w:eastAsia="黑体" w:cs="黑体"/>
          <w:sz w:val="32"/>
          <w:szCs w:val="32"/>
        </w:rPr>
        <w:t>二、秉持为民宗旨，聚焦重点提升，强化担当作为</w:t>
      </w:r>
    </w:p>
    <w:p>
      <w:pPr>
        <w:widowControl/>
        <w:shd w:val="clear" w:color="auto" w:fill="FFFFFF"/>
        <w:ind w:firstLine="640" w:firstLineChars="200"/>
        <w:outlineLvl w:val="2"/>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坚决贯彻习近平总书记对湖南重要讲话重要指示批示精神和党中央决策部署，完整、准确、全面贯彻新发展理念，积极服务和融入新发展格局，始终把优化营商环境作为着力点、把为民办实事作为落脚点，狠抓制度基础建设、狠抓决策部署落实、狠抓重点任务推进，担当作为，不断提升公共资源交易的质量和效率。</w:t>
      </w:r>
      <w:r>
        <w:rPr>
          <w:rFonts w:hint="eastAsia" w:ascii="楷体" w:hAnsi="楷体" w:eastAsia="楷体" w:cs="楷体"/>
          <w:b/>
          <w:bCs/>
          <w:kern w:val="0"/>
          <w:sz w:val="32"/>
          <w:szCs w:val="32"/>
          <w:lang w:bidi="ar"/>
        </w:rPr>
        <w:t>一是夯实制度基础。</w:t>
      </w:r>
      <w:r>
        <w:rPr>
          <w:rFonts w:hint="eastAsia" w:ascii="仿宋_GB2312" w:hAnsi="仿宋_GB2312" w:eastAsia="仿宋_GB2312" w:cs="仿宋_GB2312"/>
          <w:kern w:val="0"/>
          <w:sz w:val="32"/>
          <w:szCs w:val="32"/>
          <w:lang w:bidi="ar"/>
        </w:rPr>
        <w:t>推进现场管理“规范化”，在全省统一出台了《湖南省公共资源交易现场数字见证服务管理办法》，全面推行交易项目全过程数字见证；推进流程设置“合理化”，梳理出台了《湖南省公共资源交易中心项目受理（专家抽取）服务流程优化清单》《湖南省公共资源交易中心集中采购服务流程优化清单》等六个优化清单和《湖南省公共资源中心现场数字见证工作规程》《湖南省公共资源交易中心工程建设项目招投标交易规程》等十个操作规程；推进平台建设“标准化”，制定了《湖南省公共资源交易信息化平台实施六统一建设方案》，扎实推进全省信息化建设“一盘棋”。</w:t>
      </w:r>
      <w:r>
        <w:rPr>
          <w:rFonts w:hint="eastAsia" w:ascii="楷体" w:hAnsi="楷体" w:eastAsia="楷体" w:cs="楷体"/>
          <w:b/>
          <w:bCs/>
          <w:kern w:val="0"/>
          <w:sz w:val="32"/>
          <w:szCs w:val="32"/>
          <w:lang w:bidi="ar"/>
        </w:rPr>
        <w:t>二是强化创新突破。</w:t>
      </w:r>
      <w:r>
        <w:rPr>
          <w:rFonts w:hint="eastAsia" w:ascii="仿宋_GB2312" w:hAnsi="仿宋_GB2312" w:eastAsia="仿宋_GB2312" w:cs="仿宋_GB2312"/>
          <w:kern w:val="0"/>
          <w:sz w:val="32"/>
          <w:szCs w:val="32"/>
          <w:lang w:bidi="ar"/>
        </w:rPr>
        <w:t>破解CA证书、造价清单历史难题，建立了“CA证书及电子签章互认平台”，对外发布了造价清单标准和清标逻辑，营造了“公开、公平、规范、透明”的交易氛围，助力优化营商环境，让“身在湖南、办事不难”成为常态；优化升级了</w:t>
      </w:r>
      <w:r>
        <w:rPr>
          <w:rFonts w:hint="eastAsia" w:ascii="仿宋_GB2312" w:hAnsi="仿宋_GB2312" w:eastAsia="仿宋_GB2312" w:cs="仿宋_GB2312"/>
          <w:kern w:val="0"/>
          <w:sz w:val="32"/>
          <w:szCs w:val="32"/>
          <w:lang w:val="en" w:bidi="ar"/>
        </w:rPr>
        <w:t>远程异地评标系统、</w:t>
      </w:r>
      <w:r>
        <w:rPr>
          <w:rFonts w:hint="eastAsia" w:ascii="仿宋_GB2312" w:hAnsi="仿宋_GB2312" w:eastAsia="仿宋_GB2312" w:cs="仿宋_GB2312"/>
          <w:kern w:val="0"/>
          <w:sz w:val="32"/>
          <w:szCs w:val="32"/>
          <w:lang w:bidi="ar"/>
        </w:rPr>
        <w:t>评标专家费用支付系统、数字见证系统</w:t>
      </w:r>
      <w:r>
        <w:rPr>
          <w:rFonts w:hint="eastAsia" w:ascii="仿宋_GB2312" w:hAnsi="仿宋_GB2312" w:eastAsia="仿宋_GB2312" w:cs="仿宋_GB2312"/>
          <w:kern w:val="0"/>
          <w:sz w:val="32"/>
          <w:szCs w:val="32"/>
          <w:lang w:val="en" w:bidi="ar"/>
        </w:rPr>
        <w:t>，</w:t>
      </w:r>
      <w:r>
        <w:rPr>
          <w:rFonts w:hint="eastAsia" w:ascii="仿宋_GB2312" w:hAnsi="仿宋_GB2312" w:eastAsia="仿宋_GB2312" w:cs="仿宋_GB2312"/>
          <w:kern w:val="0"/>
          <w:sz w:val="32"/>
          <w:szCs w:val="32"/>
          <w:lang w:bidi="ar"/>
        </w:rPr>
        <w:t>实现了远程异地评标的全过程闭环管理，形成评标费支付标准可核查、支付流程可追溯、支付数额可核对的费用支付闭环，实现见证服务公开透明、动态留痕、流程可溯、责任可纠；搭建了医药采购资金管控模块，对银行开放标准接口，实现采购业务、财务管理、运行管控“全分离”，各相关主体在医药采购系统中可自主选择监管银行完成订单支付，全年完成9万多笔订单支付业务；建设了高标准农田交易子系统并在全省全面启用，进一步扩展全省公共资源“全流程”电子化覆盖范围；首推“N+X”评标新模式，在全省首推评标专家N+X席位制的“不同室评标”，切实减少人为因素对评标活动的干扰；构建了</w:t>
      </w:r>
      <w:r>
        <w:rPr>
          <w:rFonts w:hint="eastAsia" w:ascii="仿宋_GB2312" w:hAnsi="仿宋_GB2312" w:eastAsia="仿宋_GB2312" w:cs="仿宋_GB2312"/>
          <w:kern w:val="0"/>
          <w:sz w:val="32"/>
          <w:szCs w:val="32"/>
          <w:lang w:val="en" w:bidi="ar"/>
        </w:rPr>
        <w:t>“初排、移交、核查、处理、反馈”</w:t>
      </w:r>
      <w:r>
        <w:rPr>
          <w:rFonts w:hint="eastAsia" w:ascii="仿宋_GB2312" w:hAnsi="仿宋_GB2312" w:eastAsia="仿宋_GB2312" w:cs="仿宋_GB2312"/>
          <w:kern w:val="0"/>
          <w:sz w:val="32"/>
          <w:szCs w:val="32"/>
          <w:lang w:bidi="ar"/>
        </w:rPr>
        <w:t>机制，扩充了“啄木鸟”功能指标，推进“啄木鸟”系统全省上线运行，运用人工智能方式建立自动分析模型，与省纪委签订《数据查询合作协议》，打通省纪委监委的数据链路，实现实时预警功能全省覆盖，实现数据查询、问题线索推送、后评估结果推送；启动了数据中台、行政监管平台建设，实现公共资源交易数据汇聚、行政监管“全周期”。</w:t>
      </w:r>
      <w:r>
        <w:rPr>
          <w:rFonts w:hint="eastAsia" w:ascii="楷体" w:hAnsi="楷体" w:eastAsia="楷体" w:cs="楷体"/>
          <w:b/>
          <w:bCs/>
          <w:kern w:val="0"/>
          <w:sz w:val="32"/>
          <w:szCs w:val="32"/>
          <w:lang w:bidi="ar"/>
        </w:rPr>
        <w:t>三是严格现场管理。</w:t>
      </w:r>
      <w:r>
        <w:rPr>
          <w:rFonts w:hint="eastAsia" w:ascii="仿宋_GB2312" w:hAnsi="仿宋_GB2312" w:eastAsia="仿宋_GB2312" w:cs="仿宋_GB2312"/>
          <w:kern w:val="0"/>
          <w:sz w:val="32"/>
          <w:szCs w:val="32"/>
          <w:lang w:bidi="ar"/>
        </w:rPr>
        <w:t>进一步厘清现场操作规程及工作边界职责，严格规定入区权限和时间，实现异地专家资源共享,</w:t>
      </w:r>
      <w:r>
        <w:rPr>
          <w:rFonts w:ascii="仿宋_GB2312" w:hAnsi="仿宋_GB2312" w:eastAsia="仿宋_GB2312" w:cs="仿宋_GB2312"/>
          <w:kern w:val="0"/>
          <w:sz w:val="32"/>
          <w:szCs w:val="32"/>
          <w:lang w:bidi="ar"/>
        </w:rPr>
        <w:t>交易各方主体“零接触”</w:t>
      </w:r>
      <w:r>
        <w:rPr>
          <w:rFonts w:hint="eastAsia" w:ascii="仿宋_GB2312" w:hAnsi="仿宋_GB2312" w:eastAsia="仿宋_GB2312" w:cs="仿宋_GB2312"/>
          <w:kern w:val="0"/>
          <w:sz w:val="32"/>
          <w:szCs w:val="32"/>
          <w:lang w:bidi="ar"/>
        </w:rPr>
        <w:t>；实施“三十分钟办结制”，限时处置影响评审进度的故障、异常情况；按照“能线上不线下、能前台不后台”的原则就项目评审复核、澄清、现场监管、评标资料传递等交易现场管理流程进行了严格规范；全面开展交易项目的现场数字见证工作，实现全过程数字见证，全流程记录服务、全流程实时预警，及时发现和处置现场异常行为，全年共完成见证项目3115个标包宗，处理现场异常情况13起，其中场内通报10起，移交行政监管部门3起；规范有序开展工程建设项目的后评估工作，按照全省地州全覆盖和行业全覆盖的原则，随机抽取18个项目开展后评估，发现相关异常和有待改进的问题34项，及时报送省公管办和相关省级行政监督部门。</w:t>
      </w:r>
    </w:p>
    <w:p>
      <w:pPr>
        <w:ind w:firstLine="640" w:firstLineChars="200"/>
        <w:rPr>
          <w:rFonts w:ascii="黑体" w:hAnsi="黑体" w:eastAsia="黑体" w:cs="黑体"/>
          <w:sz w:val="32"/>
          <w:szCs w:val="32"/>
        </w:rPr>
      </w:pPr>
      <w:r>
        <w:rPr>
          <w:rFonts w:hint="eastAsia" w:ascii="黑体" w:hAnsi="黑体" w:eastAsia="黑体" w:cs="黑体"/>
          <w:sz w:val="32"/>
          <w:szCs w:val="32"/>
        </w:rPr>
        <w:t>三、坚持党建统领，深入融合推进，凝聚发展合力</w:t>
      </w:r>
    </w:p>
    <w:p>
      <w:pPr>
        <w:ind w:firstLine="640" w:firstLineChars="200"/>
        <w:rPr>
          <w:rFonts w:ascii="仿宋" w:hAnsi="仿宋" w:eastAsia="仿宋" w:cs="仿宋"/>
          <w:sz w:val="32"/>
          <w:szCs w:val="32"/>
        </w:rPr>
      </w:pPr>
      <w:r>
        <w:rPr>
          <w:rFonts w:hint="eastAsia" w:ascii="仿宋_GB2312" w:hAnsi="仿宋_GB2312" w:eastAsia="仿宋_GB2312" w:cs="仿宋_GB2312"/>
          <w:kern w:val="0"/>
          <w:sz w:val="32"/>
          <w:szCs w:val="32"/>
          <w:lang w:val="en" w:bidi="ar"/>
        </w:rPr>
        <w:t>始终注重把党的建设摆在首位，做到党建工作与业务工作相融合，党建工作与人才培育相促进，党建工作与群团建设共推进，</w:t>
      </w:r>
      <w:r>
        <w:rPr>
          <w:rFonts w:hint="eastAsia" w:ascii="仿宋_GB2312" w:hAnsi="仿宋_GB2312" w:eastAsia="仿宋_GB2312" w:cs="仿宋_GB2312"/>
          <w:kern w:val="0"/>
          <w:sz w:val="32"/>
          <w:szCs w:val="32"/>
          <w:lang w:bidi="ar"/>
        </w:rPr>
        <w:t>抓实党员干部队伍建设，培育高素质专业人才</w:t>
      </w:r>
      <w:r>
        <w:rPr>
          <w:rFonts w:hint="eastAsia" w:ascii="仿宋_GB2312" w:hAnsi="仿宋_GB2312" w:eastAsia="仿宋_GB2312" w:cs="仿宋_GB2312"/>
          <w:kern w:val="0"/>
          <w:sz w:val="32"/>
          <w:szCs w:val="32"/>
          <w:lang w:val="en" w:bidi="ar"/>
        </w:rPr>
        <w:t>，充分调动干部队伍积极性和创造性，为公共资源交易事业高质量发展提供坚强组织保障。</w:t>
      </w:r>
      <w:r>
        <w:rPr>
          <w:rFonts w:hint="eastAsia" w:ascii="楷体" w:hAnsi="楷体" w:eastAsia="楷体" w:cs="楷体"/>
          <w:b/>
          <w:bCs/>
          <w:kern w:val="0"/>
          <w:sz w:val="32"/>
          <w:szCs w:val="32"/>
          <w:lang w:val="en" w:bidi="ar"/>
        </w:rPr>
        <w:t>一是坚决把牢</w:t>
      </w:r>
      <w:r>
        <w:rPr>
          <w:rFonts w:hint="eastAsia" w:ascii="楷体" w:hAnsi="楷体" w:eastAsia="楷体" w:cs="楷体"/>
          <w:b/>
          <w:bCs/>
          <w:kern w:val="0"/>
          <w:sz w:val="32"/>
          <w:szCs w:val="32"/>
          <w:lang w:bidi="ar"/>
        </w:rPr>
        <w:t>党建统领“定盘星”。</w:t>
      </w:r>
      <w:r>
        <w:rPr>
          <w:rFonts w:hint="eastAsia" w:ascii="仿宋_GB2312" w:hAnsi="仿宋_GB2312" w:eastAsia="仿宋_GB2312" w:cs="仿宋_GB2312"/>
          <w:kern w:val="0"/>
          <w:sz w:val="32"/>
          <w:szCs w:val="32"/>
          <w:lang w:bidi="ar"/>
        </w:rPr>
        <w:t>制定出台了《关于贯彻落实&lt;党委（党组）意识形态工作责任制实施办法&gt;的实施细则》，严格落实意识形态工作责任制，加强和规范舆论阵地建设和管理,组织专人对网站、微信公众号、服务平台等阵地内容进行监管，积极做好舆论引导；</w:t>
      </w:r>
      <w:r>
        <w:rPr>
          <w:rFonts w:hint="eastAsia" w:ascii="仿宋_GB2312" w:hAnsi="仿宋_GB2312" w:eastAsia="仿宋_GB2312" w:cs="仿宋_GB2312"/>
          <w:kern w:val="0"/>
          <w:sz w:val="32"/>
          <w:szCs w:val="32"/>
          <w:lang w:val="en" w:bidi="ar"/>
        </w:rPr>
        <w:t>树立“一切工作到支部”的鲜明导向，</w:t>
      </w:r>
      <w:r>
        <w:rPr>
          <w:rFonts w:hint="eastAsia" w:ascii="仿宋_GB2312" w:hAnsi="仿宋_GB2312" w:eastAsia="仿宋_GB2312" w:cs="仿宋_GB2312"/>
          <w:kern w:val="0"/>
          <w:sz w:val="32"/>
          <w:szCs w:val="32"/>
          <w:lang w:bidi="ar"/>
        </w:rPr>
        <w:t>持续推进“三表率一模范”机关建设和党支部“五化”建设，</w:t>
      </w:r>
      <w:r>
        <w:rPr>
          <w:rFonts w:hint="eastAsia" w:ascii="仿宋_GB2312" w:hAnsi="仿宋_GB2312" w:eastAsia="仿宋_GB2312" w:cs="仿宋_GB2312"/>
          <w:kern w:val="0"/>
          <w:sz w:val="32"/>
          <w:szCs w:val="32"/>
          <w:lang w:val="en" w:bidi="ar"/>
        </w:rPr>
        <w:t>不断强化党支部政治功能，提升支部组织力，</w:t>
      </w:r>
      <w:r>
        <w:rPr>
          <w:rFonts w:hint="eastAsia" w:ascii="仿宋_GB2312" w:hAnsi="仿宋_GB2312" w:eastAsia="仿宋_GB2312" w:cs="仿宋_GB2312"/>
          <w:kern w:val="0"/>
          <w:sz w:val="32"/>
          <w:szCs w:val="32"/>
          <w:lang w:bidi="ar"/>
        </w:rPr>
        <w:t>全年4次组织对各党支部学习情况和纪实管理进行日常督促和指导；全力推动开展“五跟四抓三比”党建品牌，细化制定具体的工作方案和考核实施办法，推进党建工作与业务工作深度融合并取得明显实效；组织完成机关党委的换届工作，选优配强党建领导班子；严格开展“三会一课”、组织生活会、谈心谈话、民主评议党员等基本组织制度，带头落实党员领导干部参加双重组织生活制度，参加支部组织生活4次，并围绕学习贯彻党的二十大精神为所在支部党员讲党课；强化先进示范引领作用，评选先进党支部4个、优秀共产党员18人、优秀党务工作者13人，积极营造学习先进、崇尚先进、争当先进的良好氛围；加强党员动态日常管理，扎实开展党内统计工作。</w:t>
      </w:r>
      <w:r>
        <w:rPr>
          <w:rFonts w:hint="eastAsia" w:ascii="楷体" w:hAnsi="楷体" w:eastAsia="楷体" w:cs="楷体"/>
          <w:b/>
          <w:bCs/>
          <w:kern w:val="0"/>
          <w:sz w:val="32"/>
          <w:szCs w:val="32"/>
          <w:lang w:bidi="ar"/>
        </w:rPr>
        <w:t>二是坚定树好选人用人“风向标”。</w:t>
      </w:r>
      <w:r>
        <w:rPr>
          <w:rFonts w:hint="eastAsia" w:ascii="仿宋_GB2312" w:hAnsi="仿宋_GB2312" w:eastAsia="仿宋_GB2312" w:cs="仿宋_GB2312"/>
          <w:kern w:val="0"/>
          <w:sz w:val="32"/>
          <w:szCs w:val="32"/>
          <w:lang w:bidi="ar"/>
        </w:rPr>
        <w:t>为着力解决队伍建设的结构瓶颈问题，组织编制了《三年（2023-2026年）人才发展规划》，提前做好人才培养的预判和谋划；制定出台了《干部轮岗交流办法》，按照人岗相适的原则，初步推动8名干部进行跨部门交流轮岗；严格把好选人用人关口，制定出台了《专业技术人员聘任管理办法》和《干部选拔任用程序规定》，选任部门正职1名、副职2名，新聘任副高级专业技术七级干部2名；突出干部“实干实绩实效”原则，出台了《干部自我展示及群众评价办法》，组织28名干部上台进行了自我展示，进一步畅通了干部职工自我推荐、自我展示的渠道，建立完善了干部成长的储备库；坚持用好内控管理这个手段，修订完善了《部门与个人年度量化考核管理办法》，实现指标设定科学合理、评估方法公平公正、结果运用充分有效，进一步强化了正面激励导向作用。</w:t>
      </w:r>
      <w:r>
        <w:rPr>
          <w:rFonts w:hint="eastAsia" w:ascii="楷体" w:hAnsi="楷体" w:eastAsia="楷体" w:cs="楷体"/>
          <w:b/>
          <w:bCs/>
          <w:kern w:val="0"/>
          <w:sz w:val="32"/>
          <w:szCs w:val="32"/>
          <w:lang w:bidi="ar"/>
        </w:rPr>
        <w:t>三是扎实打造机关文化“加油站”。</w:t>
      </w:r>
      <w:r>
        <w:rPr>
          <w:rFonts w:hint="eastAsia" w:ascii="仿宋_GB2312" w:hAnsi="仿宋_GB2312" w:eastAsia="仿宋_GB2312" w:cs="仿宋_GB2312"/>
          <w:kern w:val="0"/>
          <w:sz w:val="32"/>
          <w:szCs w:val="32"/>
          <w:lang w:bidi="ar"/>
        </w:rPr>
        <w:t>聚焦中心职能定位与主业主责，积极打造“守正、创新、奉献、共荣”的机关文化品牌，组织开展了2次“阳光大讲堂”，采取“干部职工“大家谈”“领导评”的方式，14名干部职工结合自身岗位作精彩的交流发言，发挥文化提升服务品质、凝聚士气人心、激发队伍活力的作用，展现交易中心干部职工守正、创新、奉献、共荣“精气神”，形成了以讲促学、以学促干的浓厚氛围；以文明创建为抓手，全面提升单位凝聚力，对标对表《省直机关文明单位动态管理制度性操作细则》（2022年度），报送电子台账资料200余条，圆满地完成了年度考核任务；组织干部职工71人参加了年度“八五普法”学习和考试，通过率100%。四是广泛汇就群团“同心圆”。关心关爱干部职工，落实党内激励关怀帮扶措施。全年职工婚丧嫁娶、住院慰问32人，发放慰问金（品）3.2万元；为生病住院治疗的职工24人/次办理了医疗补助，补助金额计14115元；按节点开展“送温暖”慰问活动，逢元旦、春节工会走访慰问扶贫干部、生活困难职工7人，计发慰问金10500元，为2名会员计发困难职工帮扶专项经费6000元，为职工发放防疫抗议药品6223.98元，关怀做到常态化、规范化，将组织的温暖落到实处。协调申请专项补助6万元，把“职工书屋”建强建优，荣获2022年“省直职工书屋示范点”称号。开展元宵节拔河活动、庆祝三八妇女节等工会活动，积极组织参加省直单位第六届干部职工运动会，常态化开展工会羽毛球、乒乓球、瑜伽兴趣小组活动，丰富党员干部业余生活。支持机关团委组织开展青年志愿者、理论读书会等活动，青年理论小组专题学习党的二十大精神，撰写理论体会文章9篇，机关团委获评省直机关2022年“五星团组织”。</w:t>
      </w:r>
    </w:p>
    <w:p>
      <w:pPr>
        <w:ind w:firstLine="640" w:firstLineChars="200"/>
        <w:rPr>
          <w:rFonts w:ascii="黑体" w:hAnsi="黑体" w:eastAsia="黑体" w:cs="黑体"/>
          <w:sz w:val="32"/>
          <w:szCs w:val="32"/>
        </w:rPr>
      </w:pPr>
      <w:r>
        <w:rPr>
          <w:rFonts w:hint="eastAsia" w:ascii="黑体" w:hAnsi="黑体" w:eastAsia="黑体" w:cs="黑体"/>
          <w:sz w:val="32"/>
          <w:szCs w:val="32"/>
        </w:rPr>
        <w:t>四、担当政治责任，敢于动真碰硬，推动作风转变</w:t>
      </w:r>
    </w:p>
    <w:p>
      <w:pPr>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val="en" w:bidi="ar"/>
        </w:rPr>
        <w:t>深化认识、提高站位，强化政治担当，扛牢主体责任，把</w:t>
      </w:r>
      <w:r>
        <w:rPr>
          <w:rFonts w:ascii="仿宋_GB2312" w:hAnsi="仿宋_GB2312" w:eastAsia="仿宋_GB2312" w:cs="仿宋_GB2312"/>
          <w:kern w:val="0"/>
          <w:sz w:val="32"/>
          <w:szCs w:val="32"/>
          <w:lang w:val="en" w:bidi="ar"/>
        </w:rPr>
        <w:t>巡视</w:t>
      </w:r>
      <w:r>
        <w:rPr>
          <w:rFonts w:hint="eastAsia" w:ascii="仿宋_GB2312" w:hAnsi="仿宋_GB2312" w:eastAsia="仿宋_GB2312" w:cs="仿宋_GB2312"/>
          <w:kern w:val="0"/>
          <w:sz w:val="32"/>
          <w:szCs w:val="32"/>
          <w:lang w:val="en" w:bidi="ar"/>
        </w:rPr>
        <w:t>整改和审计整改作为重要任务，把专项整治作为重要抓手，把乡村振兴帮扶</w:t>
      </w:r>
      <w:r>
        <w:rPr>
          <w:rFonts w:ascii="仿宋_GB2312" w:hAnsi="仿宋_GB2312" w:eastAsia="仿宋_GB2312" w:cs="仿宋_GB2312"/>
          <w:kern w:val="0"/>
          <w:sz w:val="32"/>
          <w:szCs w:val="32"/>
          <w:lang w:val="en" w:bidi="ar"/>
        </w:rPr>
        <w:t>作为</w:t>
      </w:r>
      <w:r>
        <w:rPr>
          <w:rFonts w:hint="eastAsia" w:ascii="仿宋_GB2312" w:hAnsi="仿宋_GB2312" w:eastAsia="仿宋_GB2312" w:cs="仿宋_GB2312"/>
          <w:kern w:val="0"/>
          <w:sz w:val="32"/>
          <w:szCs w:val="32"/>
          <w:lang w:val="en" w:bidi="ar"/>
        </w:rPr>
        <w:t>重要目标，</w:t>
      </w:r>
      <w:r>
        <w:rPr>
          <w:rFonts w:ascii="仿宋_GB2312" w:hAnsi="仿宋_GB2312" w:eastAsia="仿宋_GB2312" w:cs="仿宋_GB2312"/>
          <w:kern w:val="0"/>
          <w:sz w:val="32"/>
          <w:szCs w:val="32"/>
          <w:lang w:val="en" w:bidi="ar"/>
        </w:rPr>
        <w:t>从政治上认领问题、从</w:t>
      </w:r>
      <w:r>
        <w:rPr>
          <w:rFonts w:hint="eastAsia" w:ascii="仿宋_GB2312" w:hAnsi="仿宋_GB2312" w:eastAsia="仿宋_GB2312" w:cs="仿宋_GB2312"/>
          <w:kern w:val="0"/>
          <w:sz w:val="32"/>
          <w:szCs w:val="32"/>
          <w:lang w:val="en" w:bidi="ar"/>
        </w:rPr>
        <w:t>思想</w:t>
      </w:r>
      <w:r>
        <w:rPr>
          <w:rFonts w:ascii="仿宋_GB2312" w:hAnsi="仿宋_GB2312" w:eastAsia="仿宋_GB2312" w:cs="仿宋_GB2312"/>
          <w:kern w:val="0"/>
          <w:sz w:val="32"/>
          <w:szCs w:val="32"/>
          <w:lang w:val="en" w:bidi="ar"/>
        </w:rPr>
        <w:t>上</w:t>
      </w:r>
      <w:r>
        <w:rPr>
          <w:rFonts w:hint="eastAsia" w:ascii="仿宋_GB2312" w:hAnsi="仿宋_GB2312" w:eastAsia="仿宋_GB2312" w:cs="仿宋_GB2312"/>
          <w:kern w:val="0"/>
          <w:sz w:val="32"/>
          <w:szCs w:val="32"/>
          <w:lang w:val="en" w:bidi="ar"/>
        </w:rPr>
        <w:t>分析</w:t>
      </w:r>
      <w:r>
        <w:rPr>
          <w:rFonts w:ascii="仿宋_GB2312" w:hAnsi="仿宋_GB2312" w:eastAsia="仿宋_GB2312" w:cs="仿宋_GB2312"/>
          <w:kern w:val="0"/>
          <w:sz w:val="32"/>
          <w:szCs w:val="32"/>
          <w:lang w:val="en" w:bidi="ar"/>
        </w:rPr>
        <w:t>问题</w:t>
      </w:r>
      <w:r>
        <w:rPr>
          <w:rFonts w:hint="eastAsia" w:ascii="仿宋_GB2312" w:hAnsi="仿宋_GB2312" w:eastAsia="仿宋_GB2312" w:cs="仿宋_GB2312"/>
          <w:kern w:val="0"/>
          <w:sz w:val="32"/>
          <w:szCs w:val="32"/>
          <w:lang w:val="en" w:bidi="ar"/>
        </w:rPr>
        <w:t>、从行动上解决问题</w:t>
      </w:r>
      <w:r>
        <w:rPr>
          <w:rFonts w:ascii="仿宋_GB2312" w:hAnsi="仿宋_GB2312" w:eastAsia="仿宋_GB2312" w:cs="仿宋_GB2312"/>
          <w:kern w:val="0"/>
          <w:sz w:val="32"/>
          <w:szCs w:val="32"/>
          <w:lang w:val="en" w:bidi="ar"/>
        </w:rPr>
        <w:t>,</w:t>
      </w:r>
      <w:r>
        <w:rPr>
          <w:rFonts w:hint="eastAsia" w:ascii="仿宋_GB2312" w:hAnsi="仿宋_GB2312" w:eastAsia="仿宋_GB2312" w:cs="仿宋_GB2312"/>
          <w:kern w:val="0"/>
          <w:sz w:val="32"/>
          <w:szCs w:val="32"/>
          <w:lang w:val="en" w:bidi="ar"/>
        </w:rPr>
        <w:t>动真碰硬，确保工作实绩、实效。</w:t>
      </w:r>
      <w:r>
        <w:rPr>
          <w:rFonts w:hint="eastAsia" w:ascii="楷体" w:hAnsi="楷体" w:eastAsia="楷体" w:cs="楷体"/>
          <w:b/>
          <w:bCs/>
          <w:kern w:val="0"/>
          <w:sz w:val="32"/>
          <w:szCs w:val="32"/>
          <w:lang w:val="en" w:bidi="ar"/>
        </w:rPr>
        <w:t>一是</w:t>
      </w:r>
      <w:r>
        <w:rPr>
          <w:rFonts w:hint="eastAsia" w:ascii="楷体" w:hAnsi="楷体" w:eastAsia="楷体" w:cs="楷体"/>
          <w:b/>
          <w:bCs/>
          <w:kern w:val="0"/>
          <w:sz w:val="32"/>
          <w:szCs w:val="32"/>
          <w:lang w:bidi="ar"/>
        </w:rPr>
        <w:t>迎难而上，全面打赢专项整治攻坚战。</w:t>
      </w:r>
      <w:r>
        <w:rPr>
          <w:rFonts w:hint="eastAsia" w:ascii="仿宋_GB2312" w:hAnsi="仿宋_GB2312" w:eastAsia="仿宋_GB2312" w:cs="仿宋_GB2312"/>
          <w:kern w:val="0"/>
          <w:sz w:val="32"/>
          <w:szCs w:val="32"/>
          <w:lang w:bidi="ar"/>
        </w:rPr>
        <w:t>2022年是工程建设招投标突出问题专项整治扫尾之年，也是专项整治工作提升突破之年，包含了加强交易现场管理、推行交易全过程数字见证、推进招投标领域全程信息化建设、加大远程异地评标工作力度、加强公共资源交易大数据归集应用、发布严重失信行为名单并实施联合惩戒等6个类别17项工作59项任务，其中46项任务由我牵头。面对时间紧、任务重的现状，我主动担当、迎难而上，落实工作责任,明确时间节点,</w:t>
      </w:r>
      <w:r>
        <w:rPr>
          <w:rFonts w:ascii="仿宋_GB2312" w:hAnsi="仿宋_GB2312" w:eastAsia="仿宋_GB2312" w:cs="仿宋_GB2312"/>
          <w:kern w:val="0"/>
          <w:sz w:val="32"/>
          <w:szCs w:val="32"/>
          <w:lang w:bidi="ar"/>
        </w:rPr>
        <w:t>加强协调</w:t>
      </w:r>
      <w:r>
        <w:rPr>
          <w:rFonts w:hint="eastAsia" w:ascii="仿宋_GB2312" w:hAnsi="仿宋_GB2312" w:eastAsia="仿宋_GB2312" w:cs="仿宋_GB2312"/>
          <w:kern w:val="0"/>
          <w:sz w:val="32"/>
          <w:szCs w:val="32"/>
          <w:lang w:bidi="ar"/>
        </w:rPr>
        <w:t>，</w:t>
      </w:r>
      <w:r>
        <w:rPr>
          <w:rFonts w:ascii="仿宋_GB2312" w:hAnsi="仿宋_GB2312" w:eastAsia="仿宋_GB2312" w:cs="仿宋_GB2312"/>
          <w:kern w:val="0"/>
          <w:sz w:val="32"/>
          <w:szCs w:val="32"/>
          <w:lang w:bidi="ar"/>
        </w:rPr>
        <w:t>定期调度</w:t>
      </w:r>
      <w:r>
        <w:rPr>
          <w:rFonts w:hint="eastAsia" w:ascii="仿宋_GB2312" w:hAnsi="仿宋_GB2312" w:eastAsia="仿宋_GB2312" w:cs="仿宋_GB2312"/>
          <w:kern w:val="0"/>
          <w:sz w:val="32"/>
          <w:szCs w:val="32"/>
          <w:lang w:bidi="ar"/>
        </w:rPr>
        <w:t>，一条条研讨制度制定，一项项核查工作进度，实现18项任务提前1个月完成，其余项目均在规定时限内圆满完成。</w:t>
      </w:r>
      <w:r>
        <w:rPr>
          <w:rFonts w:hint="eastAsia" w:ascii="楷体" w:hAnsi="楷体" w:eastAsia="楷体" w:cs="楷体"/>
          <w:b/>
          <w:bCs/>
          <w:kern w:val="0"/>
          <w:sz w:val="32"/>
          <w:szCs w:val="32"/>
          <w:lang w:bidi="ar"/>
        </w:rPr>
        <w:t>二是强化担当，全力抓好巡视整改和审计整改。</w:t>
      </w:r>
      <w:r>
        <w:rPr>
          <w:rFonts w:hint="eastAsia" w:ascii="仿宋_GB2312" w:hAnsi="仿宋_GB2312" w:eastAsia="仿宋_GB2312" w:cs="仿宋_GB2312"/>
          <w:kern w:val="0"/>
          <w:sz w:val="32"/>
          <w:szCs w:val="32"/>
          <w:lang w:bidi="ar"/>
        </w:rPr>
        <w:t>认真落实牵头工作责任，积极协调配合省委第五巡视组开展了为期2个月的政治巡视，及时按要求组织提供相关巡视资料，精准做好对接服务，为圆满完成省委的政治监督提供了坚实保障；扎实抓好巡视反馈问题的整改，牵头组织制定了详细的问题清单、整改清单和责任清单，细化整改措施，落实整改责任，建立了“党组一月一统筹、一把手一旬一调度、分管领导一周一推动”的工作机制，巡视反馈的37项问题中由我牵头20项、选人用人专项巡视40项问题中由我牵头33项、意识形态专项巡视10项问题中由我牵头6项、机构编制7项问题中由我牵头4项，均按照规定的时间节点完成了整改任务，并牵头组织到省巡视办、省纪委、组织部宣传部、编办等部门进行逐一销号；积极落实审计反馈问题的整改责任，反馈33个问题中由我牵头负责的17个问题已全面按要求完成了整改任务，整改完成率100%。</w:t>
      </w:r>
      <w:r>
        <w:rPr>
          <w:rFonts w:hint="eastAsia" w:ascii="楷体" w:hAnsi="楷体" w:eastAsia="楷体" w:cs="楷体"/>
          <w:b/>
          <w:bCs/>
          <w:kern w:val="0"/>
          <w:sz w:val="32"/>
          <w:szCs w:val="32"/>
          <w:lang w:bidi="ar"/>
        </w:rPr>
        <w:t>三是主动作为，全力推动乡村振兴驻村帮扶。</w:t>
      </w:r>
      <w:r>
        <w:rPr>
          <w:rFonts w:hint="eastAsia" w:ascii="仿宋_GB2312" w:hAnsi="仿宋_GB2312" w:eastAsia="仿宋_GB2312" w:cs="仿宋_GB2312"/>
          <w:kern w:val="0"/>
          <w:sz w:val="32"/>
          <w:szCs w:val="32"/>
          <w:lang w:bidi="ar"/>
        </w:rPr>
        <w:t>聚焦为民造福，主动深入乡村振兴点一线，深入</w:t>
      </w:r>
      <w:r>
        <w:rPr>
          <w:rFonts w:ascii="仿宋_GB2312" w:hAnsi="仿宋_GB2312" w:eastAsia="仿宋_GB2312" w:cs="仿宋_GB2312"/>
          <w:kern w:val="0"/>
          <w:sz w:val="32"/>
          <w:szCs w:val="32"/>
          <w:lang w:bidi="ar"/>
        </w:rPr>
        <w:t>了解</w:t>
      </w:r>
      <w:r>
        <w:rPr>
          <w:rFonts w:hint="eastAsia" w:ascii="仿宋_GB2312" w:hAnsi="仿宋_GB2312" w:eastAsia="仿宋_GB2312" w:cs="仿宋_GB2312"/>
          <w:kern w:val="0"/>
          <w:sz w:val="32"/>
          <w:szCs w:val="32"/>
          <w:lang w:bidi="ar"/>
        </w:rPr>
        <w:t>绿野村</w:t>
      </w:r>
      <w:r>
        <w:rPr>
          <w:rFonts w:ascii="仿宋_GB2312" w:hAnsi="仿宋_GB2312" w:eastAsia="仿宋_GB2312" w:cs="仿宋_GB2312"/>
          <w:kern w:val="0"/>
          <w:sz w:val="32"/>
          <w:szCs w:val="32"/>
          <w:lang w:bidi="ar"/>
        </w:rPr>
        <w:t>村容村貌和历史沿革</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val="en" w:bidi="ar"/>
        </w:rPr>
        <w:t>围绕产业发展、规划建设、乡村治理等方面开展调研和交流，积极协调相关部门，</w:t>
      </w:r>
      <w:r>
        <w:rPr>
          <w:rFonts w:hint="eastAsia" w:ascii="仿宋_GB2312" w:hAnsi="仿宋_GB2312" w:eastAsia="仿宋_GB2312" w:cs="仿宋_GB2312"/>
          <w:kern w:val="0"/>
          <w:sz w:val="32"/>
          <w:szCs w:val="32"/>
          <w:lang w:bidi="ar"/>
        </w:rPr>
        <w:t>全年落实帮扶资金345万元，</w:t>
      </w:r>
      <w:r>
        <w:rPr>
          <w:rFonts w:hint="eastAsia" w:ascii="仿宋_GB2312" w:hAnsi="仿宋_GB2312" w:eastAsia="仿宋_GB2312" w:cs="仿宋_GB2312"/>
          <w:kern w:val="0"/>
          <w:sz w:val="32"/>
          <w:szCs w:val="32"/>
          <w:lang w:val="en" w:bidi="ar"/>
        </w:rPr>
        <w:t>用于村集体油茶山补苗、除草、追肥等方面，拓宽村集体经济增收渠道；筹集省发改委专项资金</w:t>
      </w:r>
      <w:r>
        <w:rPr>
          <w:rFonts w:hint="eastAsia" w:ascii="仿宋_GB2312" w:hAnsi="仿宋_GB2312" w:eastAsia="仿宋_GB2312" w:cs="仿宋_GB2312"/>
          <w:kern w:val="0"/>
          <w:sz w:val="32"/>
          <w:szCs w:val="32"/>
          <w:lang w:bidi="ar"/>
        </w:rPr>
        <w:t>370万元</w:t>
      </w:r>
      <w:r>
        <w:rPr>
          <w:rFonts w:hint="eastAsia" w:ascii="仿宋_GB2312" w:hAnsi="仿宋_GB2312" w:eastAsia="仿宋_GB2312" w:cs="仿宋_GB2312"/>
          <w:kern w:val="0"/>
          <w:sz w:val="32"/>
          <w:szCs w:val="32"/>
          <w:lang w:val="en" w:bidi="ar"/>
        </w:rPr>
        <w:t>引进县城自来水进村，彻底解决村民饮水季节性缺乏和产业发展综合性用水不足问题；</w:t>
      </w:r>
      <w:r>
        <w:rPr>
          <w:rFonts w:hint="eastAsia" w:ascii="仿宋_GB2312" w:hAnsi="仿宋_GB2312" w:eastAsia="仿宋_GB2312" w:cs="仿宋_GB2312"/>
          <w:kern w:val="0"/>
          <w:sz w:val="32"/>
          <w:szCs w:val="32"/>
          <w:lang w:bidi="ar"/>
        </w:rPr>
        <w:t>积极协调相关部门投入资金100万元，在原有光伏发电项目基础上扩增场地2100平方米，扩容装机容量183KW，每年可为村集体经济直接增收10余万元；协调</w:t>
      </w:r>
      <w:r>
        <w:rPr>
          <w:rFonts w:hint="eastAsia" w:ascii="仿宋_GB2312" w:hAnsi="仿宋_GB2312" w:eastAsia="仿宋_GB2312" w:cs="仿宋_GB2312"/>
          <w:kern w:val="0"/>
          <w:sz w:val="32"/>
          <w:szCs w:val="32"/>
          <w:lang w:val="en" w:bidi="ar"/>
        </w:rPr>
        <w:t>推进“高粱种养加”循环产业链，解决了10多位村民再就业岗位，充分利用村的地理优势和生态优势，积极做好乡村休闲旅游相关配套，为村里老百姓带来可持续的经济收入；协调有关部门助推村内3座危桥的改造建设，开展小范围打井和水源深井勘测，优质完成厕改103户，完成脚子冲组、大屋组道路硬化</w:t>
      </w:r>
      <w:r>
        <w:rPr>
          <w:rFonts w:hint="eastAsia" w:ascii="仿宋_GB2312" w:hAnsi="仿宋_GB2312" w:eastAsia="仿宋_GB2312" w:cs="仿宋_GB2312"/>
          <w:kern w:val="0"/>
          <w:sz w:val="32"/>
          <w:szCs w:val="32"/>
          <w:lang w:bidi="ar"/>
        </w:rPr>
        <w:t>1000余米、</w:t>
      </w:r>
      <w:r>
        <w:rPr>
          <w:rFonts w:hint="eastAsia" w:ascii="仿宋_GB2312" w:hAnsi="仿宋_GB2312" w:eastAsia="仿宋_GB2312" w:cs="仿宋_GB2312"/>
          <w:kern w:val="0"/>
          <w:sz w:val="32"/>
          <w:szCs w:val="32"/>
          <w:lang w:val="en" w:bidi="ar"/>
        </w:rPr>
        <w:t>金盆河沿线护砌整治、加固水渠和护坡</w:t>
      </w:r>
      <w:r>
        <w:rPr>
          <w:rFonts w:hint="eastAsia" w:ascii="仿宋_GB2312" w:hAnsi="仿宋_GB2312" w:eastAsia="仿宋_GB2312" w:cs="仿宋_GB2312"/>
          <w:kern w:val="0"/>
          <w:sz w:val="32"/>
          <w:szCs w:val="32"/>
          <w:lang w:bidi="ar"/>
        </w:rPr>
        <w:t>1000</w:t>
      </w:r>
      <w:r>
        <w:rPr>
          <w:rFonts w:hint="eastAsia" w:ascii="仿宋_GB2312" w:hAnsi="仿宋_GB2312" w:eastAsia="仿宋_GB2312" w:cs="仿宋_GB2312"/>
          <w:kern w:val="0"/>
          <w:sz w:val="32"/>
          <w:szCs w:val="32"/>
          <w:lang w:val="en" w:bidi="ar"/>
        </w:rPr>
        <w:t>余米；充分发挥党建在乡村振兴的“铸魂”“强根”作用，</w:t>
      </w:r>
      <w:r>
        <w:rPr>
          <w:rFonts w:hint="eastAsia" w:ascii="仿宋_GB2312" w:hAnsi="仿宋_GB2312" w:eastAsia="仿宋_GB2312" w:cs="仿宋_GB2312"/>
          <w:kern w:val="0"/>
          <w:sz w:val="32"/>
          <w:szCs w:val="32"/>
          <w:lang w:bidi="ar"/>
        </w:rPr>
        <w:t>开展红“祁”家庭创建评选活动，引导村民主动做好“门外三包”“家内三包”，建设美好家园，助力乡村振兴。</w:t>
      </w:r>
    </w:p>
    <w:p>
      <w:pPr>
        <w:ind w:firstLine="640" w:firstLineChars="200"/>
        <w:rPr>
          <w:rFonts w:ascii="黑体" w:hAnsi="黑体" w:eastAsia="黑体" w:cs="黑体"/>
          <w:sz w:val="32"/>
          <w:szCs w:val="32"/>
        </w:rPr>
      </w:pPr>
      <w:r>
        <w:rPr>
          <w:rFonts w:hint="eastAsia" w:ascii="黑体" w:hAnsi="黑体" w:eastAsia="黑体" w:cs="黑体"/>
          <w:sz w:val="32"/>
          <w:szCs w:val="32"/>
        </w:rPr>
        <w:t>五、坚守政治原则，严格廉洁自律，永葆清廉本色</w:t>
      </w:r>
    </w:p>
    <w:p>
      <w:pPr>
        <w:ind w:firstLine="640" w:firstLineChars="200"/>
        <w:rPr>
          <w:rFonts w:ascii="仿宋_GB2312" w:hAnsi="仿宋_GB2312" w:eastAsia="仿宋_GB2312" w:cs="仿宋_GB2312"/>
          <w:kern w:val="0"/>
          <w:sz w:val="32"/>
          <w:szCs w:val="32"/>
          <w:lang w:val="en" w:bidi="ar"/>
        </w:rPr>
      </w:pPr>
      <w:r>
        <w:rPr>
          <w:rFonts w:hint="eastAsia" w:ascii="仿宋_GB2312" w:hAnsi="仿宋_GB2312" w:eastAsia="仿宋_GB2312" w:cs="仿宋_GB2312"/>
          <w:kern w:val="0"/>
          <w:sz w:val="32"/>
          <w:szCs w:val="32"/>
          <w:lang w:bidi="ar"/>
        </w:rPr>
        <w:t>永葆自我革命精神，增强全面从严治党永远在路上的政治自觉,坚持严的主基调不动摇,</w:t>
      </w:r>
      <w:r>
        <w:rPr>
          <w:rFonts w:hint="eastAsia" w:ascii="仿宋_GB2312" w:hAnsi="仿宋_GB2312" w:eastAsia="仿宋_GB2312" w:cs="仿宋_GB2312"/>
          <w:kern w:val="0"/>
          <w:sz w:val="32"/>
          <w:szCs w:val="32"/>
          <w:lang w:val="en" w:bidi="ar"/>
        </w:rPr>
        <w:t>认真履行全面从严治党政治责任和“一岗双责”，做到真管真严、敢管敢严、长管长严，切实把党风廉政建设责任抓在手上、扛在肩上。</w:t>
      </w:r>
      <w:r>
        <w:rPr>
          <w:rFonts w:hint="eastAsia" w:ascii="楷体" w:hAnsi="楷体" w:eastAsia="楷体" w:cs="楷体"/>
          <w:b/>
          <w:bCs/>
          <w:kern w:val="0"/>
          <w:sz w:val="32"/>
          <w:szCs w:val="32"/>
          <w:lang w:val="en" w:bidi="ar"/>
        </w:rPr>
        <w:t>一是完善廉政机制，</w:t>
      </w:r>
      <w:r>
        <w:rPr>
          <w:rFonts w:hint="eastAsia" w:ascii="楷体" w:hAnsi="楷体" w:eastAsia="楷体" w:cs="楷体"/>
          <w:b/>
          <w:bCs/>
          <w:kern w:val="0"/>
          <w:sz w:val="32"/>
          <w:szCs w:val="32"/>
          <w:lang w:bidi="ar"/>
        </w:rPr>
        <w:t>持续深化清廉机关建设。</w:t>
      </w:r>
      <w:r>
        <w:rPr>
          <w:rFonts w:hint="eastAsia" w:ascii="仿宋_GB2312" w:hAnsi="仿宋_GB2312" w:eastAsia="仿宋_GB2312" w:cs="仿宋_GB2312"/>
          <w:kern w:val="0"/>
          <w:sz w:val="32"/>
          <w:szCs w:val="32"/>
          <w:lang w:bidi="ar"/>
        </w:rPr>
        <w:t>把清廉交易中心建设作为落实全面从严治党主体责任的重要内容，制定党员干部“十不准、十必究、十承诺”制度，建立普通干部职工常态化交流制度，强化纪律约束。开展市场主体服务满意度调查，严肃查出慢作为、不作为、乱作为问题。围绕交易业务、资金管理、服务质效等四个重点方面，开展“四个一”（梳理一批制度、完善一套内部管理流程、开展一次廉政风险再排查、进行一次专项整治）活动，进一步完善财政资金使用和管理制度，规范预算使用和费用支出。打造阵地树“廉”，教育明“廉”，数字赋“廉”，执纪固“廉”，文化润“廉”，开展“清廉家风建设”、“廉政建设大家谈”活动，全面推动全面从严治党向纵深发展。</w:t>
      </w:r>
      <w:r>
        <w:rPr>
          <w:rFonts w:hint="eastAsia" w:ascii="楷体" w:hAnsi="楷体" w:eastAsia="楷体" w:cs="楷体"/>
          <w:b/>
          <w:bCs/>
          <w:kern w:val="0"/>
          <w:sz w:val="32"/>
          <w:szCs w:val="32"/>
          <w:lang w:bidi="ar"/>
        </w:rPr>
        <w:t>二是构建惩防体系，扎实推进党风廉政建设。</w:t>
      </w:r>
      <w:r>
        <w:rPr>
          <w:rFonts w:hint="eastAsia" w:ascii="仿宋_GB2312" w:hAnsi="仿宋_GB2312" w:eastAsia="仿宋_GB2312" w:cs="仿宋_GB2312"/>
          <w:kern w:val="0"/>
          <w:sz w:val="32"/>
          <w:szCs w:val="32"/>
          <w:lang w:bidi="ar"/>
        </w:rPr>
        <w:t>坚持抓学习教育，强化思想认识，利用周五学习日、主题当日活动，推动干部职工集中学习《中国共产党纪律处分条例》《中国共产党党内监督条例》等，筑牢拒腐防变的思想防线；制定出台了《关于深化整治领导干部违规收送红包礼金问题的实施方案》，组织29名副处以上领导干部签订了“决不违规收送红包礼金承诺书”；坚持抓案例警示，敲响长鸣警钟，全年组织全体干部职工开展了4次“身边事教育身边人”系列警示教育活动；坚持抓正风肃纪，强化全面监督，时刻保持对“四风”问题及其各种变异表现的高度警惕，</w:t>
      </w:r>
      <w:r>
        <w:rPr>
          <w:rFonts w:hint="eastAsia" w:ascii="仿宋_GB2312" w:hAnsi="仿宋_GB2312" w:eastAsia="仿宋_GB2312" w:cs="仿宋_GB2312"/>
          <w:kern w:val="0"/>
          <w:sz w:val="32"/>
          <w:szCs w:val="32"/>
          <w:lang w:val="en" w:bidi="ar"/>
        </w:rPr>
        <w:t>紧盯元旦、春节、端午、中秋等重要节点，向全体党员干部发出了</w:t>
      </w:r>
      <w:r>
        <w:rPr>
          <w:rFonts w:hint="eastAsia" w:ascii="仿宋_GB2312" w:hAnsi="仿宋_GB2312" w:eastAsia="仿宋_GB2312" w:cs="仿宋_GB2312"/>
          <w:kern w:val="0"/>
          <w:sz w:val="32"/>
          <w:szCs w:val="32"/>
          <w:lang w:bidi="ar"/>
        </w:rPr>
        <w:t>7</w:t>
      </w:r>
      <w:r>
        <w:rPr>
          <w:rFonts w:hint="eastAsia" w:ascii="仿宋_GB2312" w:hAnsi="仿宋_GB2312" w:eastAsia="仿宋_GB2312" w:cs="仿宋_GB2312"/>
          <w:kern w:val="0"/>
          <w:sz w:val="32"/>
          <w:szCs w:val="32"/>
          <w:lang w:val="en" w:bidi="ar"/>
        </w:rPr>
        <w:t>次节日廉政提醒，并在春节、端午节、国庆节前开展了</w:t>
      </w:r>
      <w:r>
        <w:rPr>
          <w:rFonts w:hint="eastAsia" w:ascii="仿宋_GB2312" w:hAnsi="仿宋_GB2312" w:eastAsia="仿宋_GB2312" w:cs="仿宋_GB2312"/>
          <w:kern w:val="0"/>
          <w:sz w:val="32"/>
          <w:szCs w:val="32"/>
          <w:lang w:bidi="ar"/>
        </w:rPr>
        <w:t>3</w:t>
      </w:r>
      <w:r>
        <w:rPr>
          <w:rFonts w:hint="eastAsia" w:ascii="仿宋_GB2312" w:hAnsi="仿宋_GB2312" w:eastAsia="仿宋_GB2312" w:cs="仿宋_GB2312"/>
          <w:kern w:val="0"/>
          <w:sz w:val="32"/>
          <w:szCs w:val="32"/>
          <w:lang w:val="en" w:bidi="ar"/>
        </w:rPr>
        <w:t>次纠“四风”专项监督检查；</w:t>
      </w:r>
      <w:r>
        <w:rPr>
          <w:rFonts w:hint="eastAsia" w:ascii="仿宋_GB2312" w:hAnsi="仿宋_GB2312" w:eastAsia="仿宋_GB2312" w:cs="仿宋_GB2312"/>
          <w:kern w:val="0"/>
          <w:sz w:val="32"/>
          <w:szCs w:val="32"/>
          <w:lang w:bidi="ar"/>
        </w:rPr>
        <w:t>协助驻省发改委纪检组对交易中心开展驻点监督调研，开展“一对一”谈心谈话42人次，查阅台账资料，走访服务对象15人次。</w:t>
      </w:r>
      <w:r>
        <w:rPr>
          <w:rFonts w:hint="eastAsia" w:ascii="楷体" w:hAnsi="楷体" w:eastAsia="楷体" w:cs="楷体"/>
          <w:b/>
          <w:bCs/>
          <w:kern w:val="0"/>
          <w:sz w:val="32"/>
          <w:szCs w:val="32"/>
          <w:lang w:val="en" w:bidi="ar"/>
        </w:rPr>
        <w:t>三是坚持廉洁自律，严守政治纪律和政治规矩。</w:t>
      </w:r>
      <w:r>
        <w:rPr>
          <w:rFonts w:hint="eastAsia" w:ascii="仿宋_GB2312" w:hAnsi="仿宋_GB2312" w:eastAsia="仿宋_GB2312" w:cs="仿宋_GB2312"/>
          <w:kern w:val="0"/>
          <w:sz w:val="32"/>
          <w:szCs w:val="32"/>
          <w:lang w:val="en" w:bidi="ar"/>
        </w:rPr>
        <w:t>认真执行廉洁从政有关规定和个人事项报告制度，</w:t>
      </w:r>
      <w:r>
        <w:rPr>
          <w:rFonts w:hint="eastAsia" w:ascii="仿宋_GB2312" w:hAnsi="仿宋_GB2312" w:eastAsia="仿宋_GB2312" w:cs="仿宋_GB2312"/>
          <w:kern w:val="0"/>
          <w:sz w:val="32"/>
          <w:szCs w:val="32"/>
          <w:lang w:bidi="ar"/>
        </w:rPr>
        <w:t>坚持廉洁从政、廉洁用权、廉洁修身、廉洁齐家，以党章党规党纪为镜检视短板，以刀刃向内的勇气直面问题、刮骨疗毒，从小事小节上、从一言一行中守好政治关、权力观、交往关、生活关，切实维护共产党人良好形象，做到恋亲不为亲徇私、念旧不为旧牟利、济亲不为亲撑腰。</w:t>
      </w:r>
      <w:r>
        <w:rPr>
          <w:rFonts w:hint="eastAsia" w:ascii="仿宋_GB2312" w:hAnsi="仿宋_GB2312" w:eastAsia="仿宋_GB2312" w:cs="仿宋_GB2312"/>
          <w:kern w:val="0"/>
          <w:sz w:val="32"/>
          <w:szCs w:val="32"/>
          <w:lang w:val="en" w:bidi="ar"/>
        </w:rPr>
        <w:t>本人和配偶、子女没有经商办企业，没有违规插手干预公共资源交易活动“提篮子”“打牌子”等行为。</w:t>
      </w:r>
    </w:p>
    <w:p>
      <w:pPr>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2022年的工作虽然取得了一定成绩，但我也深刻的感到与省委省政府的高要求、同志们的新期待还存在一定的差距：</w:t>
      </w:r>
      <w:r>
        <w:rPr>
          <w:rFonts w:hint="eastAsia" w:ascii="仿宋_GB2312" w:hAnsi="仿宋_GB2312" w:eastAsia="仿宋_GB2312" w:cs="仿宋_GB2312"/>
          <w:b/>
          <w:bCs/>
          <w:kern w:val="0"/>
          <w:sz w:val="32"/>
          <w:szCs w:val="32"/>
          <w:lang w:bidi="ar"/>
        </w:rPr>
        <w:t>一是</w:t>
      </w:r>
      <w:r>
        <w:rPr>
          <w:rFonts w:hint="eastAsia" w:ascii="仿宋_GB2312" w:hAnsi="仿宋_GB2312" w:eastAsia="仿宋_GB2312" w:cs="仿宋_GB2312"/>
          <w:kern w:val="0"/>
          <w:sz w:val="32"/>
          <w:szCs w:val="32"/>
          <w:lang w:bidi="ar"/>
        </w:rPr>
        <w:t>党建工作成效还不够明显；</w:t>
      </w:r>
      <w:r>
        <w:rPr>
          <w:rFonts w:hint="eastAsia" w:ascii="仿宋_GB2312" w:hAnsi="仿宋_GB2312" w:eastAsia="仿宋_GB2312" w:cs="仿宋_GB2312"/>
          <w:b/>
          <w:bCs/>
          <w:kern w:val="0"/>
          <w:sz w:val="32"/>
          <w:szCs w:val="32"/>
          <w:lang w:bidi="ar"/>
        </w:rPr>
        <w:t>二是</w:t>
      </w:r>
      <w:r>
        <w:rPr>
          <w:rFonts w:hint="eastAsia" w:ascii="仿宋_GB2312" w:hAnsi="仿宋_GB2312" w:eastAsia="仿宋_GB2312" w:cs="仿宋_GB2312"/>
          <w:kern w:val="0"/>
          <w:sz w:val="32"/>
          <w:szCs w:val="32"/>
          <w:lang w:bidi="ar"/>
        </w:rPr>
        <w:t>信息化建设还存在难点堵点没有完全解决；</w:t>
      </w:r>
      <w:r>
        <w:rPr>
          <w:rFonts w:hint="eastAsia" w:ascii="仿宋_GB2312" w:hAnsi="仿宋_GB2312" w:eastAsia="仿宋_GB2312" w:cs="仿宋_GB2312"/>
          <w:b/>
          <w:bCs/>
          <w:kern w:val="0"/>
          <w:sz w:val="32"/>
          <w:szCs w:val="32"/>
          <w:lang w:bidi="ar"/>
        </w:rPr>
        <w:t>三是</w:t>
      </w:r>
      <w:r>
        <w:rPr>
          <w:rFonts w:hint="eastAsia" w:ascii="仿宋_GB2312" w:hAnsi="仿宋_GB2312" w:eastAsia="仿宋_GB2312" w:cs="仿宋_GB2312"/>
          <w:kern w:val="0"/>
          <w:sz w:val="32"/>
          <w:szCs w:val="32"/>
          <w:lang w:bidi="ar"/>
        </w:rPr>
        <w:t>干部队伍凝聚力、战斗力还需要进一步加强。2023年是全面贯彻落实党的二十大精神的开局之年,也是迈向“后疫情时代”社会发展恢复正常、快速复苏的过渡之年，我将在中心党组的正确领导下，不忘初心、牢记使命，砥砺奋进、勇往直前，为服务全省“三高四新”战略定位和使命任务贡献力量。</w:t>
      </w:r>
    </w:p>
    <w:p>
      <w:pPr>
        <w:widowControl/>
        <w:shd w:val="clear" w:color="auto" w:fill="FFFFFF"/>
        <w:ind w:firstLine="640" w:firstLineChars="200"/>
        <w:outlineLvl w:val="2"/>
        <w:rPr>
          <w:rFonts w:ascii="仿宋_GB2312" w:hAnsi="仿宋" w:eastAsia="仿宋_GB2312" w:cs="仿宋_GB2312"/>
          <w:sz w:val="32"/>
          <w:szCs w:val="28"/>
        </w:rPr>
      </w:pPr>
    </w:p>
    <w:sectPr>
      <w:footerReference r:id="rId3" w:type="default"/>
      <w:footerReference r:id="rId4" w:type="even"/>
      <w:pgSz w:w="11906" w:h="16838"/>
      <w:pgMar w:top="1701" w:right="1531" w:bottom="1418" w:left="1531" w:header="851" w:footer="1134"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8696525"/>
      <w:docPartObj>
        <w:docPartGallery w:val="AutoText"/>
      </w:docPartObj>
    </w:sdtPr>
    <w:sdtEndPr>
      <w:rPr>
        <w:rFonts w:asciiTheme="minorEastAsia" w:hAnsiTheme="minorEastAsia"/>
        <w:sz w:val="28"/>
        <w:szCs w:val="28"/>
      </w:rPr>
    </w:sdtEndPr>
    <w:sdtContent>
      <w:p>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11 -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8672516"/>
    </w:sdtPr>
    <w:sdtContent>
      <w:p>
        <w:pPr>
          <w:pStyle w:val="5"/>
          <w:ind w:firstLine="180" w:firstLineChars="100"/>
        </w:pPr>
        <w:r>
          <w:rPr>
            <w:rFonts w:asciiTheme="majorEastAsia" w:hAnsiTheme="majorEastAsia" w:eastAsiaTheme="majorEastAsia"/>
            <w:sz w:val="28"/>
          </w:rPr>
          <w:fldChar w:fldCharType="begin"/>
        </w:r>
        <w:r>
          <w:rPr>
            <w:rFonts w:asciiTheme="majorEastAsia" w:hAnsiTheme="majorEastAsia" w:eastAsiaTheme="majorEastAsia"/>
            <w:sz w:val="28"/>
          </w:rPr>
          <w:instrText xml:space="preserve">PAGE   \* MERGEFORMAT</w:instrText>
        </w:r>
        <w:r>
          <w:rPr>
            <w:rFonts w:asciiTheme="majorEastAsia" w:hAnsiTheme="majorEastAsia" w:eastAsiaTheme="majorEastAsia"/>
            <w:sz w:val="28"/>
          </w:rPr>
          <w:fldChar w:fldCharType="separate"/>
        </w:r>
        <w:r>
          <w:rPr>
            <w:rFonts w:asciiTheme="majorEastAsia" w:hAnsiTheme="majorEastAsia" w:eastAsiaTheme="majorEastAsia"/>
            <w:sz w:val="28"/>
            <w:lang w:val="zh-CN"/>
          </w:rPr>
          <w:t>-</w:t>
        </w:r>
        <w:r>
          <w:rPr>
            <w:rFonts w:asciiTheme="majorEastAsia" w:hAnsiTheme="majorEastAsia" w:eastAsiaTheme="majorEastAsia"/>
            <w:sz w:val="28"/>
          </w:rPr>
          <w:t xml:space="preserve"> 12 -</w:t>
        </w:r>
        <w:r>
          <w:rPr>
            <w:rFonts w:asciiTheme="majorEastAsia" w:hAnsiTheme="majorEastAsia" w:eastAsiaTheme="majorEastAsia"/>
            <w:sz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22"/>
    <w:rsid w:val="000029DF"/>
    <w:rsid w:val="00014F45"/>
    <w:rsid w:val="0001501F"/>
    <w:rsid w:val="00015E54"/>
    <w:rsid w:val="0001720C"/>
    <w:rsid w:val="00022E79"/>
    <w:rsid w:val="00023922"/>
    <w:rsid w:val="00024157"/>
    <w:rsid w:val="00024C51"/>
    <w:rsid w:val="0003112E"/>
    <w:rsid w:val="0004042E"/>
    <w:rsid w:val="00050634"/>
    <w:rsid w:val="000506C0"/>
    <w:rsid w:val="00050C63"/>
    <w:rsid w:val="00053880"/>
    <w:rsid w:val="00055D06"/>
    <w:rsid w:val="000568CB"/>
    <w:rsid w:val="000579C0"/>
    <w:rsid w:val="00057C37"/>
    <w:rsid w:val="00060082"/>
    <w:rsid w:val="00071C21"/>
    <w:rsid w:val="00076AC3"/>
    <w:rsid w:val="00080C67"/>
    <w:rsid w:val="00084FC3"/>
    <w:rsid w:val="0008564B"/>
    <w:rsid w:val="00086EAD"/>
    <w:rsid w:val="000905AA"/>
    <w:rsid w:val="000960E3"/>
    <w:rsid w:val="00096586"/>
    <w:rsid w:val="000969D8"/>
    <w:rsid w:val="00097A97"/>
    <w:rsid w:val="000A1AE4"/>
    <w:rsid w:val="000A40E1"/>
    <w:rsid w:val="000A6A46"/>
    <w:rsid w:val="000B0499"/>
    <w:rsid w:val="000B24A4"/>
    <w:rsid w:val="000B508B"/>
    <w:rsid w:val="000B5ECC"/>
    <w:rsid w:val="000C0A00"/>
    <w:rsid w:val="000E4612"/>
    <w:rsid w:val="000E615C"/>
    <w:rsid w:val="000E7F90"/>
    <w:rsid w:val="000F5F5A"/>
    <w:rsid w:val="001114C2"/>
    <w:rsid w:val="001126D6"/>
    <w:rsid w:val="00114E85"/>
    <w:rsid w:val="00120066"/>
    <w:rsid w:val="00120F6D"/>
    <w:rsid w:val="00124B0C"/>
    <w:rsid w:val="00124DB2"/>
    <w:rsid w:val="001252EE"/>
    <w:rsid w:val="001363BC"/>
    <w:rsid w:val="0013664C"/>
    <w:rsid w:val="0013790D"/>
    <w:rsid w:val="001404FC"/>
    <w:rsid w:val="00140C5D"/>
    <w:rsid w:val="001464B5"/>
    <w:rsid w:val="00146773"/>
    <w:rsid w:val="00146A10"/>
    <w:rsid w:val="00153112"/>
    <w:rsid w:val="00153869"/>
    <w:rsid w:val="00153F73"/>
    <w:rsid w:val="0015585C"/>
    <w:rsid w:val="00166259"/>
    <w:rsid w:val="001677AD"/>
    <w:rsid w:val="001760C3"/>
    <w:rsid w:val="00177045"/>
    <w:rsid w:val="001774E5"/>
    <w:rsid w:val="00180141"/>
    <w:rsid w:val="001917DC"/>
    <w:rsid w:val="00191CD9"/>
    <w:rsid w:val="00192075"/>
    <w:rsid w:val="001A171C"/>
    <w:rsid w:val="001A6A9A"/>
    <w:rsid w:val="001A743B"/>
    <w:rsid w:val="001B33F3"/>
    <w:rsid w:val="001B579F"/>
    <w:rsid w:val="001C0477"/>
    <w:rsid w:val="001C2D64"/>
    <w:rsid w:val="001C5501"/>
    <w:rsid w:val="001C5C90"/>
    <w:rsid w:val="001C5F2E"/>
    <w:rsid w:val="001D69FF"/>
    <w:rsid w:val="001D717F"/>
    <w:rsid w:val="001E0490"/>
    <w:rsid w:val="001E3BF8"/>
    <w:rsid w:val="001F43F7"/>
    <w:rsid w:val="001F64F0"/>
    <w:rsid w:val="001F7157"/>
    <w:rsid w:val="002018FA"/>
    <w:rsid w:val="002045F0"/>
    <w:rsid w:val="00205A5E"/>
    <w:rsid w:val="00207FE6"/>
    <w:rsid w:val="00212605"/>
    <w:rsid w:val="002135AA"/>
    <w:rsid w:val="00215996"/>
    <w:rsid w:val="0021772A"/>
    <w:rsid w:val="002220BC"/>
    <w:rsid w:val="002230AF"/>
    <w:rsid w:val="00224017"/>
    <w:rsid w:val="00226BCA"/>
    <w:rsid w:val="00227113"/>
    <w:rsid w:val="002317A8"/>
    <w:rsid w:val="0023231B"/>
    <w:rsid w:val="002359D1"/>
    <w:rsid w:val="00235B08"/>
    <w:rsid w:val="00236FAC"/>
    <w:rsid w:val="0024198F"/>
    <w:rsid w:val="002422C8"/>
    <w:rsid w:val="0025396E"/>
    <w:rsid w:val="002563E9"/>
    <w:rsid w:val="00264D1A"/>
    <w:rsid w:val="0026524D"/>
    <w:rsid w:val="002674D9"/>
    <w:rsid w:val="0027339B"/>
    <w:rsid w:val="00277263"/>
    <w:rsid w:val="002871F4"/>
    <w:rsid w:val="00291747"/>
    <w:rsid w:val="0029520A"/>
    <w:rsid w:val="002A0025"/>
    <w:rsid w:val="002A2E1A"/>
    <w:rsid w:val="002B1A75"/>
    <w:rsid w:val="002C0605"/>
    <w:rsid w:val="002C53D1"/>
    <w:rsid w:val="002C5888"/>
    <w:rsid w:val="002D42C7"/>
    <w:rsid w:val="002E1213"/>
    <w:rsid w:val="002E19E4"/>
    <w:rsid w:val="002E6CC6"/>
    <w:rsid w:val="002E778B"/>
    <w:rsid w:val="002F1F5C"/>
    <w:rsid w:val="002F6C46"/>
    <w:rsid w:val="00311342"/>
    <w:rsid w:val="003129D5"/>
    <w:rsid w:val="0033799F"/>
    <w:rsid w:val="00337F09"/>
    <w:rsid w:val="00344D7B"/>
    <w:rsid w:val="00345E20"/>
    <w:rsid w:val="003658C5"/>
    <w:rsid w:val="00385464"/>
    <w:rsid w:val="003878D1"/>
    <w:rsid w:val="00390E7F"/>
    <w:rsid w:val="00391892"/>
    <w:rsid w:val="0039349C"/>
    <w:rsid w:val="0039445D"/>
    <w:rsid w:val="0039518E"/>
    <w:rsid w:val="00397C39"/>
    <w:rsid w:val="003A0255"/>
    <w:rsid w:val="003A0CB7"/>
    <w:rsid w:val="003A2A74"/>
    <w:rsid w:val="003A6178"/>
    <w:rsid w:val="003B1880"/>
    <w:rsid w:val="003B56C0"/>
    <w:rsid w:val="003B5D55"/>
    <w:rsid w:val="003C278C"/>
    <w:rsid w:val="003C567D"/>
    <w:rsid w:val="003D21CE"/>
    <w:rsid w:val="003D28B7"/>
    <w:rsid w:val="003E6DB4"/>
    <w:rsid w:val="003F3BBC"/>
    <w:rsid w:val="0040166E"/>
    <w:rsid w:val="00401DD9"/>
    <w:rsid w:val="0041491C"/>
    <w:rsid w:val="00417644"/>
    <w:rsid w:val="004201CC"/>
    <w:rsid w:val="00425403"/>
    <w:rsid w:val="00425410"/>
    <w:rsid w:val="004263A9"/>
    <w:rsid w:val="00437D2B"/>
    <w:rsid w:val="00440CD3"/>
    <w:rsid w:val="004458AB"/>
    <w:rsid w:val="00453E9A"/>
    <w:rsid w:val="00454D52"/>
    <w:rsid w:val="00455662"/>
    <w:rsid w:val="004567AB"/>
    <w:rsid w:val="004630E1"/>
    <w:rsid w:val="00465A29"/>
    <w:rsid w:val="004801EB"/>
    <w:rsid w:val="00481EDB"/>
    <w:rsid w:val="00484C59"/>
    <w:rsid w:val="00486FD4"/>
    <w:rsid w:val="00490D69"/>
    <w:rsid w:val="00492BED"/>
    <w:rsid w:val="00494E23"/>
    <w:rsid w:val="00495518"/>
    <w:rsid w:val="004B2601"/>
    <w:rsid w:val="004B3BDA"/>
    <w:rsid w:val="004C3A43"/>
    <w:rsid w:val="004D0132"/>
    <w:rsid w:val="004D149D"/>
    <w:rsid w:val="004D579E"/>
    <w:rsid w:val="004E657E"/>
    <w:rsid w:val="004E786E"/>
    <w:rsid w:val="004F60A8"/>
    <w:rsid w:val="004F7702"/>
    <w:rsid w:val="0050129A"/>
    <w:rsid w:val="0050675D"/>
    <w:rsid w:val="00507711"/>
    <w:rsid w:val="00512EE0"/>
    <w:rsid w:val="00515177"/>
    <w:rsid w:val="005153B3"/>
    <w:rsid w:val="00517273"/>
    <w:rsid w:val="005222D4"/>
    <w:rsid w:val="00524C8B"/>
    <w:rsid w:val="00532B0A"/>
    <w:rsid w:val="00542C69"/>
    <w:rsid w:val="005433CA"/>
    <w:rsid w:val="00547F42"/>
    <w:rsid w:val="00552637"/>
    <w:rsid w:val="005573D1"/>
    <w:rsid w:val="00563247"/>
    <w:rsid w:val="00570753"/>
    <w:rsid w:val="00571F2B"/>
    <w:rsid w:val="00571F74"/>
    <w:rsid w:val="005754AD"/>
    <w:rsid w:val="00575ECF"/>
    <w:rsid w:val="00580596"/>
    <w:rsid w:val="0058248C"/>
    <w:rsid w:val="0058413E"/>
    <w:rsid w:val="00585F05"/>
    <w:rsid w:val="00586CF5"/>
    <w:rsid w:val="00586FC2"/>
    <w:rsid w:val="00590FB4"/>
    <w:rsid w:val="005A16FB"/>
    <w:rsid w:val="005A212B"/>
    <w:rsid w:val="005A68BA"/>
    <w:rsid w:val="005B2170"/>
    <w:rsid w:val="005C1BAE"/>
    <w:rsid w:val="005C502A"/>
    <w:rsid w:val="005D1A5C"/>
    <w:rsid w:val="005D362B"/>
    <w:rsid w:val="005E19EB"/>
    <w:rsid w:val="005E1BF3"/>
    <w:rsid w:val="005E54AD"/>
    <w:rsid w:val="005E6322"/>
    <w:rsid w:val="005F2E77"/>
    <w:rsid w:val="005F312F"/>
    <w:rsid w:val="005F7543"/>
    <w:rsid w:val="005F7640"/>
    <w:rsid w:val="00600324"/>
    <w:rsid w:val="00602A47"/>
    <w:rsid w:val="006115F8"/>
    <w:rsid w:val="00611AD0"/>
    <w:rsid w:val="00612E79"/>
    <w:rsid w:val="00614229"/>
    <w:rsid w:val="00617EE7"/>
    <w:rsid w:val="00624C5C"/>
    <w:rsid w:val="0063421E"/>
    <w:rsid w:val="006355FD"/>
    <w:rsid w:val="00641E53"/>
    <w:rsid w:val="00642D7D"/>
    <w:rsid w:val="00652037"/>
    <w:rsid w:val="00662B38"/>
    <w:rsid w:val="00662E25"/>
    <w:rsid w:val="0067102A"/>
    <w:rsid w:val="00676626"/>
    <w:rsid w:val="00680FC1"/>
    <w:rsid w:val="0068567D"/>
    <w:rsid w:val="006A4B1E"/>
    <w:rsid w:val="006A7DD6"/>
    <w:rsid w:val="006C1C23"/>
    <w:rsid w:val="006C478C"/>
    <w:rsid w:val="006C58EF"/>
    <w:rsid w:val="006D144B"/>
    <w:rsid w:val="006E1D97"/>
    <w:rsid w:val="006F453D"/>
    <w:rsid w:val="00706AA0"/>
    <w:rsid w:val="007071D2"/>
    <w:rsid w:val="0070736E"/>
    <w:rsid w:val="00707CC1"/>
    <w:rsid w:val="0071235F"/>
    <w:rsid w:val="007141C7"/>
    <w:rsid w:val="0072396A"/>
    <w:rsid w:val="00723D33"/>
    <w:rsid w:val="00726D40"/>
    <w:rsid w:val="0073122E"/>
    <w:rsid w:val="007336DF"/>
    <w:rsid w:val="007422D2"/>
    <w:rsid w:val="00744041"/>
    <w:rsid w:val="00745758"/>
    <w:rsid w:val="00747183"/>
    <w:rsid w:val="00755895"/>
    <w:rsid w:val="007647BC"/>
    <w:rsid w:val="0076658B"/>
    <w:rsid w:val="0077042E"/>
    <w:rsid w:val="00782432"/>
    <w:rsid w:val="00783578"/>
    <w:rsid w:val="007874E1"/>
    <w:rsid w:val="00787F80"/>
    <w:rsid w:val="007B0286"/>
    <w:rsid w:val="007B4CED"/>
    <w:rsid w:val="007B674B"/>
    <w:rsid w:val="007C0BF6"/>
    <w:rsid w:val="007C1AF9"/>
    <w:rsid w:val="007C22F8"/>
    <w:rsid w:val="007C7134"/>
    <w:rsid w:val="007D04C3"/>
    <w:rsid w:val="007D5D69"/>
    <w:rsid w:val="007D63D4"/>
    <w:rsid w:val="007F4451"/>
    <w:rsid w:val="007F5FE4"/>
    <w:rsid w:val="007F628B"/>
    <w:rsid w:val="007F7480"/>
    <w:rsid w:val="0080043A"/>
    <w:rsid w:val="00801CCC"/>
    <w:rsid w:val="00811F6E"/>
    <w:rsid w:val="008147C3"/>
    <w:rsid w:val="008209D1"/>
    <w:rsid w:val="00821D60"/>
    <w:rsid w:val="00825DED"/>
    <w:rsid w:val="00833CAB"/>
    <w:rsid w:val="008360AC"/>
    <w:rsid w:val="00836214"/>
    <w:rsid w:val="00840454"/>
    <w:rsid w:val="00846E58"/>
    <w:rsid w:val="00850420"/>
    <w:rsid w:val="00856804"/>
    <w:rsid w:val="00865204"/>
    <w:rsid w:val="0086522D"/>
    <w:rsid w:val="00867482"/>
    <w:rsid w:val="0087437D"/>
    <w:rsid w:val="00874F0C"/>
    <w:rsid w:val="008778AD"/>
    <w:rsid w:val="00886B3C"/>
    <w:rsid w:val="008A1344"/>
    <w:rsid w:val="008A3CBE"/>
    <w:rsid w:val="008A616D"/>
    <w:rsid w:val="008A68C3"/>
    <w:rsid w:val="008A7740"/>
    <w:rsid w:val="008B6CD9"/>
    <w:rsid w:val="008B7632"/>
    <w:rsid w:val="008C25B7"/>
    <w:rsid w:val="008C3ECB"/>
    <w:rsid w:val="008C4749"/>
    <w:rsid w:val="008C7B80"/>
    <w:rsid w:val="008D15CE"/>
    <w:rsid w:val="008D7662"/>
    <w:rsid w:val="008E07FC"/>
    <w:rsid w:val="008E245C"/>
    <w:rsid w:val="008E26E7"/>
    <w:rsid w:val="008E3C4F"/>
    <w:rsid w:val="008E689B"/>
    <w:rsid w:val="008F3882"/>
    <w:rsid w:val="008F6324"/>
    <w:rsid w:val="00904BC5"/>
    <w:rsid w:val="00907814"/>
    <w:rsid w:val="009130D0"/>
    <w:rsid w:val="00915EB6"/>
    <w:rsid w:val="00916451"/>
    <w:rsid w:val="00917181"/>
    <w:rsid w:val="009205A8"/>
    <w:rsid w:val="00921792"/>
    <w:rsid w:val="00925856"/>
    <w:rsid w:val="00925CC6"/>
    <w:rsid w:val="00932F37"/>
    <w:rsid w:val="009348C9"/>
    <w:rsid w:val="00934D20"/>
    <w:rsid w:val="00935952"/>
    <w:rsid w:val="00935A23"/>
    <w:rsid w:val="00935F5A"/>
    <w:rsid w:val="0093772D"/>
    <w:rsid w:val="009406C4"/>
    <w:rsid w:val="00942E67"/>
    <w:rsid w:val="009431CA"/>
    <w:rsid w:val="009438BE"/>
    <w:rsid w:val="009504C5"/>
    <w:rsid w:val="00951878"/>
    <w:rsid w:val="00951DC5"/>
    <w:rsid w:val="00952634"/>
    <w:rsid w:val="0095543A"/>
    <w:rsid w:val="009707A4"/>
    <w:rsid w:val="00971B62"/>
    <w:rsid w:val="009748AF"/>
    <w:rsid w:val="00975524"/>
    <w:rsid w:val="00991A79"/>
    <w:rsid w:val="00991AC7"/>
    <w:rsid w:val="0099513C"/>
    <w:rsid w:val="009952EC"/>
    <w:rsid w:val="00995EE4"/>
    <w:rsid w:val="009A315F"/>
    <w:rsid w:val="009A6ABF"/>
    <w:rsid w:val="009B1479"/>
    <w:rsid w:val="009B4851"/>
    <w:rsid w:val="009B7724"/>
    <w:rsid w:val="009C402F"/>
    <w:rsid w:val="009C55F7"/>
    <w:rsid w:val="009C61DE"/>
    <w:rsid w:val="009C7AC4"/>
    <w:rsid w:val="009D1B4D"/>
    <w:rsid w:val="009D4062"/>
    <w:rsid w:val="009E3068"/>
    <w:rsid w:val="009E3F9E"/>
    <w:rsid w:val="009E5E6E"/>
    <w:rsid w:val="009E6ED6"/>
    <w:rsid w:val="009F21E8"/>
    <w:rsid w:val="009F26F2"/>
    <w:rsid w:val="009F40B4"/>
    <w:rsid w:val="009F4F4D"/>
    <w:rsid w:val="009F5084"/>
    <w:rsid w:val="009F69D8"/>
    <w:rsid w:val="009F6D5D"/>
    <w:rsid w:val="009F7AF7"/>
    <w:rsid w:val="00A00BBF"/>
    <w:rsid w:val="00A025BA"/>
    <w:rsid w:val="00A040E5"/>
    <w:rsid w:val="00A11D2C"/>
    <w:rsid w:val="00A12C89"/>
    <w:rsid w:val="00A16D7A"/>
    <w:rsid w:val="00A17DEE"/>
    <w:rsid w:val="00A30076"/>
    <w:rsid w:val="00A36A4E"/>
    <w:rsid w:val="00A4686B"/>
    <w:rsid w:val="00A55F6F"/>
    <w:rsid w:val="00A65351"/>
    <w:rsid w:val="00A740AE"/>
    <w:rsid w:val="00A840C9"/>
    <w:rsid w:val="00A84A25"/>
    <w:rsid w:val="00A87954"/>
    <w:rsid w:val="00A87CB1"/>
    <w:rsid w:val="00A9107B"/>
    <w:rsid w:val="00A91A3C"/>
    <w:rsid w:val="00A91DB1"/>
    <w:rsid w:val="00A97EDC"/>
    <w:rsid w:val="00AA5BF8"/>
    <w:rsid w:val="00AA610E"/>
    <w:rsid w:val="00AB1F82"/>
    <w:rsid w:val="00AB4245"/>
    <w:rsid w:val="00AB4EEC"/>
    <w:rsid w:val="00AC0017"/>
    <w:rsid w:val="00AC14EC"/>
    <w:rsid w:val="00AC1C0D"/>
    <w:rsid w:val="00AC1F62"/>
    <w:rsid w:val="00AC701C"/>
    <w:rsid w:val="00AC73DE"/>
    <w:rsid w:val="00AD0231"/>
    <w:rsid w:val="00AD0F01"/>
    <w:rsid w:val="00AD0F97"/>
    <w:rsid w:val="00AE079F"/>
    <w:rsid w:val="00AE32C1"/>
    <w:rsid w:val="00AE4496"/>
    <w:rsid w:val="00AF2062"/>
    <w:rsid w:val="00AF2195"/>
    <w:rsid w:val="00AF3D08"/>
    <w:rsid w:val="00AF6ED6"/>
    <w:rsid w:val="00AF7D9A"/>
    <w:rsid w:val="00AF7D9B"/>
    <w:rsid w:val="00B048F1"/>
    <w:rsid w:val="00B05104"/>
    <w:rsid w:val="00B078D5"/>
    <w:rsid w:val="00B1363E"/>
    <w:rsid w:val="00B151E7"/>
    <w:rsid w:val="00B23AB1"/>
    <w:rsid w:val="00B2672A"/>
    <w:rsid w:val="00B31D11"/>
    <w:rsid w:val="00B42B19"/>
    <w:rsid w:val="00B4509A"/>
    <w:rsid w:val="00B5715C"/>
    <w:rsid w:val="00B574BF"/>
    <w:rsid w:val="00B6027D"/>
    <w:rsid w:val="00B615C6"/>
    <w:rsid w:val="00B623EA"/>
    <w:rsid w:val="00B71BF9"/>
    <w:rsid w:val="00B754F6"/>
    <w:rsid w:val="00B760C4"/>
    <w:rsid w:val="00B81FA1"/>
    <w:rsid w:val="00B8309A"/>
    <w:rsid w:val="00B84674"/>
    <w:rsid w:val="00B84C21"/>
    <w:rsid w:val="00BA09C9"/>
    <w:rsid w:val="00BA5A50"/>
    <w:rsid w:val="00BA5F04"/>
    <w:rsid w:val="00BA70A5"/>
    <w:rsid w:val="00BC0705"/>
    <w:rsid w:val="00BC1238"/>
    <w:rsid w:val="00BD1556"/>
    <w:rsid w:val="00BD5FB8"/>
    <w:rsid w:val="00BE4DF5"/>
    <w:rsid w:val="00BE6E8B"/>
    <w:rsid w:val="00BE70AB"/>
    <w:rsid w:val="00BF19A1"/>
    <w:rsid w:val="00BF1A99"/>
    <w:rsid w:val="00BF4BD4"/>
    <w:rsid w:val="00BF56E2"/>
    <w:rsid w:val="00BF5ACF"/>
    <w:rsid w:val="00C07D34"/>
    <w:rsid w:val="00C116C3"/>
    <w:rsid w:val="00C24B59"/>
    <w:rsid w:val="00C42CD3"/>
    <w:rsid w:val="00C45950"/>
    <w:rsid w:val="00C60A21"/>
    <w:rsid w:val="00C62DC5"/>
    <w:rsid w:val="00C640EC"/>
    <w:rsid w:val="00C70818"/>
    <w:rsid w:val="00C70E18"/>
    <w:rsid w:val="00C71264"/>
    <w:rsid w:val="00C71B2B"/>
    <w:rsid w:val="00C7618C"/>
    <w:rsid w:val="00C80616"/>
    <w:rsid w:val="00C8593E"/>
    <w:rsid w:val="00C8636E"/>
    <w:rsid w:val="00C96437"/>
    <w:rsid w:val="00C96B5D"/>
    <w:rsid w:val="00CA169E"/>
    <w:rsid w:val="00CB603D"/>
    <w:rsid w:val="00CB7131"/>
    <w:rsid w:val="00CC4305"/>
    <w:rsid w:val="00CD2220"/>
    <w:rsid w:val="00CD26B1"/>
    <w:rsid w:val="00CD4256"/>
    <w:rsid w:val="00CE5B77"/>
    <w:rsid w:val="00CE6A83"/>
    <w:rsid w:val="00CF1596"/>
    <w:rsid w:val="00CF4731"/>
    <w:rsid w:val="00CF6280"/>
    <w:rsid w:val="00CF653C"/>
    <w:rsid w:val="00CF672D"/>
    <w:rsid w:val="00D075C4"/>
    <w:rsid w:val="00D13BAB"/>
    <w:rsid w:val="00D146C3"/>
    <w:rsid w:val="00D26944"/>
    <w:rsid w:val="00D31316"/>
    <w:rsid w:val="00D333EA"/>
    <w:rsid w:val="00D3598A"/>
    <w:rsid w:val="00D404CB"/>
    <w:rsid w:val="00D43320"/>
    <w:rsid w:val="00D45451"/>
    <w:rsid w:val="00D504E6"/>
    <w:rsid w:val="00D51F08"/>
    <w:rsid w:val="00D5233D"/>
    <w:rsid w:val="00D53B6F"/>
    <w:rsid w:val="00D53E23"/>
    <w:rsid w:val="00D57CC6"/>
    <w:rsid w:val="00D61E17"/>
    <w:rsid w:val="00D70FE1"/>
    <w:rsid w:val="00D71F94"/>
    <w:rsid w:val="00D7339F"/>
    <w:rsid w:val="00D749A8"/>
    <w:rsid w:val="00D83F8E"/>
    <w:rsid w:val="00DA1306"/>
    <w:rsid w:val="00DA7DE9"/>
    <w:rsid w:val="00DB3173"/>
    <w:rsid w:val="00DC7E34"/>
    <w:rsid w:val="00DD1988"/>
    <w:rsid w:val="00DD1B37"/>
    <w:rsid w:val="00DD25B4"/>
    <w:rsid w:val="00DD6E76"/>
    <w:rsid w:val="00DE1FAF"/>
    <w:rsid w:val="00DE6A8D"/>
    <w:rsid w:val="00DE7EF6"/>
    <w:rsid w:val="00DF0E09"/>
    <w:rsid w:val="00DF37E4"/>
    <w:rsid w:val="00DF4E66"/>
    <w:rsid w:val="00DF7025"/>
    <w:rsid w:val="00E008ED"/>
    <w:rsid w:val="00E00C87"/>
    <w:rsid w:val="00E00DF0"/>
    <w:rsid w:val="00E04632"/>
    <w:rsid w:val="00E0518B"/>
    <w:rsid w:val="00E16EB9"/>
    <w:rsid w:val="00E21F86"/>
    <w:rsid w:val="00E255E3"/>
    <w:rsid w:val="00E364E5"/>
    <w:rsid w:val="00E5418C"/>
    <w:rsid w:val="00E543AA"/>
    <w:rsid w:val="00E562C2"/>
    <w:rsid w:val="00E61ED3"/>
    <w:rsid w:val="00E65C99"/>
    <w:rsid w:val="00E71BC8"/>
    <w:rsid w:val="00E841A8"/>
    <w:rsid w:val="00E912AD"/>
    <w:rsid w:val="00E92AD8"/>
    <w:rsid w:val="00E92C92"/>
    <w:rsid w:val="00EB10D0"/>
    <w:rsid w:val="00EB13B7"/>
    <w:rsid w:val="00EB2F93"/>
    <w:rsid w:val="00EC6A12"/>
    <w:rsid w:val="00ED2974"/>
    <w:rsid w:val="00ED2D2B"/>
    <w:rsid w:val="00ED52F9"/>
    <w:rsid w:val="00ED5F0E"/>
    <w:rsid w:val="00ED67D2"/>
    <w:rsid w:val="00ED68DB"/>
    <w:rsid w:val="00EE1056"/>
    <w:rsid w:val="00EE457F"/>
    <w:rsid w:val="00EE52FF"/>
    <w:rsid w:val="00EE7204"/>
    <w:rsid w:val="00F07408"/>
    <w:rsid w:val="00F113B5"/>
    <w:rsid w:val="00F1241B"/>
    <w:rsid w:val="00F202C1"/>
    <w:rsid w:val="00F2248B"/>
    <w:rsid w:val="00F2264D"/>
    <w:rsid w:val="00F23A7B"/>
    <w:rsid w:val="00F27D92"/>
    <w:rsid w:val="00F31BC5"/>
    <w:rsid w:val="00F33039"/>
    <w:rsid w:val="00F363B8"/>
    <w:rsid w:val="00F44D50"/>
    <w:rsid w:val="00F46455"/>
    <w:rsid w:val="00F53F1B"/>
    <w:rsid w:val="00F54ED8"/>
    <w:rsid w:val="00F563D6"/>
    <w:rsid w:val="00F56A81"/>
    <w:rsid w:val="00F56BB7"/>
    <w:rsid w:val="00F602F8"/>
    <w:rsid w:val="00F60478"/>
    <w:rsid w:val="00F60BD3"/>
    <w:rsid w:val="00F61DCA"/>
    <w:rsid w:val="00F6273D"/>
    <w:rsid w:val="00F73A59"/>
    <w:rsid w:val="00F8360C"/>
    <w:rsid w:val="00F969DE"/>
    <w:rsid w:val="00FA2EB2"/>
    <w:rsid w:val="00FA703C"/>
    <w:rsid w:val="00FC1334"/>
    <w:rsid w:val="00FC2DAD"/>
    <w:rsid w:val="00FC4391"/>
    <w:rsid w:val="00FC6377"/>
    <w:rsid w:val="00FD1660"/>
    <w:rsid w:val="00FE0586"/>
    <w:rsid w:val="00FE0FF6"/>
    <w:rsid w:val="00FE489D"/>
    <w:rsid w:val="00FE71CC"/>
    <w:rsid w:val="00FE73F2"/>
    <w:rsid w:val="00FE7827"/>
    <w:rsid w:val="00FF36C1"/>
    <w:rsid w:val="1EBBC9D8"/>
    <w:rsid w:val="3BFA28E1"/>
    <w:rsid w:val="3BFF1A83"/>
    <w:rsid w:val="3D6D0381"/>
    <w:rsid w:val="3D9E3752"/>
    <w:rsid w:val="4E62200B"/>
    <w:rsid w:val="5BBA6F1F"/>
    <w:rsid w:val="5DA76EFC"/>
    <w:rsid w:val="5FAF255F"/>
    <w:rsid w:val="675FCB57"/>
    <w:rsid w:val="67FB6DA7"/>
    <w:rsid w:val="6A785C62"/>
    <w:rsid w:val="6F2F537B"/>
    <w:rsid w:val="6FAF8257"/>
    <w:rsid w:val="77FB61CA"/>
    <w:rsid w:val="79C1BE26"/>
    <w:rsid w:val="7BEB852C"/>
    <w:rsid w:val="7BFC93B5"/>
    <w:rsid w:val="7EFFB344"/>
    <w:rsid w:val="7F5F9B8D"/>
    <w:rsid w:val="7FFE3886"/>
    <w:rsid w:val="8776885F"/>
    <w:rsid w:val="8D5FE234"/>
    <w:rsid w:val="AFAE6E59"/>
    <w:rsid w:val="B18FD528"/>
    <w:rsid w:val="B4F50E70"/>
    <w:rsid w:val="B5FA75BA"/>
    <w:rsid w:val="B98999A5"/>
    <w:rsid w:val="BEFDDDA0"/>
    <w:rsid w:val="CB779CCB"/>
    <w:rsid w:val="D65E01A8"/>
    <w:rsid w:val="DAFF1335"/>
    <w:rsid w:val="DDFFE5C7"/>
    <w:rsid w:val="DE556987"/>
    <w:rsid w:val="EF3F1540"/>
    <w:rsid w:val="F6DBF2FD"/>
    <w:rsid w:val="F7FF3AAF"/>
    <w:rsid w:val="FB86DF37"/>
    <w:rsid w:val="FBFB6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Normal Indent"/>
    <w:basedOn w:val="1"/>
    <w:qFormat/>
    <w:uiPriority w:val="0"/>
    <w:pPr>
      <w:ind w:firstLine="420" w:firstLineChars="2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批注框文本 Char"/>
    <w:basedOn w:val="8"/>
    <w:link w:val="4"/>
    <w:semiHidden/>
    <w:qFormat/>
    <w:uiPriority w:val="99"/>
    <w:rPr>
      <w:sz w:val="18"/>
      <w:szCs w:val="18"/>
    </w:rPr>
  </w:style>
  <w:style w:type="paragraph" w:customStyle="1" w:styleId="12">
    <w:name w:val="Char Char Char Char Char Char Char Char Char Char Char Char Char Char"/>
    <w:qFormat/>
    <w:uiPriority w:val="0"/>
    <w:pPr>
      <w:widowControl w:val="0"/>
      <w:spacing w:line="48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1055</Words>
  <Characters>6020</Characters>
  <Lines>50</Lines>
  <Paragraphs>14</Paragraphs>
  <TotalTime>9</TotalTime>
  <ScaleCrop>false</ScaleCrop>
  <LinksUpToDate>false</LinksUpToDate>
  <CharactersWithSpaces>7061</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2023-02-09T11:30:00Z</dcterms:created>
  <dc:creator>NTKO</dc:creator>
  <cp:lastModifiedBy>jyzx</cp:lastModifiedBy>
  <cp:lastPrinted>2023-02-09T10:57:00Z</cp:lastPrinted>
  <dcterms:modified xsi:type="dcterms:W3CDTF">2023-02-10T13:17:48Z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