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80" w:lineRule="exact"/>
        <w:rPr>
          <w:rFonts w:hint="eastAsia" w:ascii="仿宋" w:hAnsi="仿宋" w:eastAsia="仿宋" w:cs="仿宋_GB2312"/>
          <w:snapToGrid w:val="0"/>
          <w:sz w:val="32"/>
          <w:szCs w:val="32"/>
        </w:rPr>
      </w:pPr>
      <w:bookmarkStart w:id="0" w:name="_GoBack"/>
      <w:r>
        <w:rPr>
          <w:rFonts w:hint="eastAsia" w:ascii="仿宋" w:hAnsi="仿宋" w:eastAsia="仿宋" w:cs="仿宋_GB2312"/>
          <w:snapToGrid w:val="0"/>
          <w:sz w:val="32"/>
          <w:szCs w:val="32"/>
        </w:rPr>
        <w:t>附件：1.</w:t>
      </w:r>
      <w:r>
        <w:rPr>
          <w:rFonts w:hint="eastAsia" w:ascii="仿宋" w:hAnsi="仿宋" w:eastAsia="仿宋" w:cs="仿宋_GB2312"/>
          <w:snapToGrid w:val="0"/>
          <w:spacing w:val="-16"/>
          <w:sz w:val="32"/>
          <w:szCs w:val="32"/>
        </w:rPr>
        <w:t>《工程建设项目招投标审计数据填报子系统操作手册》</w:t>
      </w:r>
    </w:p>
    <w:bookmarkEnd w:id="0"/>
    <w:p>
      <w:pPr>
        <w:outlineLvl w:val="0"/>
        <w:rPr>
          <w:rFonts w:hint="eastAsia" w:ascii="黑体" w:hAnsi="黑体" w:eastAsia="黑体" w:cs="黑体"/>
          <w:sz w:val="32"/>
          <w:szCs w:val="32"/>
        </w:rPr>
      </w:pPr>
      <w:r>
        <w:rPr>
          <w:rFonts w:hint="eastAsia" w:ascii="黑体" w:hAnsi="黑体" w:eastAsia="黑体" w:cs="黑体"/>
          <w:sz w:val="32"/>
          <w:szCs w:val="32"/>
        </w:rPr>
        <w:t>附件1</w:t>
      </w:r>
    </w:p>
    <w:p>
      <w:pPr>
        <w:ind w:firstLine="420"/>
        <w:jc w:val="center"/>
        <w:rPr>
          <w:rFonts w:ascii="方正小标宋简体" w:hAnsi="方正小标宋简体" w:eastAsia="方正小标宋简体" w:cs="方正小标宋简体"/>
          <w:snapToGrid w:val="0"/>
          <w:sz w:val="36"/>
          <w:szCs w:val="36"/>
        </w:rPr>
      </w:pPr>
      <w:r>
        <w:rPr>
          <w:rFonts w:hint="eastAsia" w:ascii="方正小标宋简体" w:hAnsi="方正小标宋简体" w:eastAsia="方正小标宋简体" w:cs="方正小标宋简体"/>
          <w:snapToGrid w:val="0"/>
          <w:sz w:val="36"/>
          <w:szCs w:val="36"/>
        </w:rPr>
        <w:t>工程建设项目招投标审计数据填报</w:t>
      </w:r>
    </w:p>
    <w:p>
      <w:pPr>
        <w:ind w:firstLine="420"/>
        <w:jc w:val="center"/>
        <w:rPr>
          <w:rFonts w:hint="eastAsia" w:ascii="方正小标宋简体" w:hAnsi="方正小标宋简体" w:eastAsia="方正小标宋简体" w:cs="方正小标宋简体"/>
          <w:snapToGrid w:val="0"/>
          <w:sz w:val="36"/>
          <w:szCs w:val="36"/>
        </w:rPr>
      </w:pPr>
      <w:r>
        <w:rPr>
          <w:rFonts w:hint="eastAsia" w:ascii="方正小标宋简体" w:hAnsi="方正小标宋简体" w:eastAsia="方正小标宋简体" w:cs="方正小标宋简体"/>
          <w:snapToGrid w:val="0"/>
          <w:sz w:val="36"/>
          <w:szCs w:val="36"/>
        </w:rPr>
        <w:t>子系统操作手册</w:t>
      </w:r>
    </w:p>
    <w:p>
      <w:pPr>
        <w:ind w:firstLine="420"/>
        <w:rPr>
          <w:rFonts w:hint="eastAsia" w:ascii="仿宋" w:hAnsi="仿宋" w:eastAsia="仿宋" w:cs="仿宋"/>
          <w:snapToGrid w:val="0"/>
          <w:sz w:val="32"/>
          <w:szCs w:val="32"/>
        </w:rPr>
      </w:pPr>
    </w:p>
    <w:p>
      <w:pPr>
        <w:ind w:firstLine="420"/>
        <w:rPr>
          <w:rFonts w:hint="eastAsia" w:ascii="宋体" w:hAnsi="宋体" w:cs="宋体"/>
          <w:snapToGrid w:val="0"/>
          <w:sz w:val="24"/>
        </w:rPr>
      </w:pPr>
      <w:r>
        <w:rPr>
          <w:rFonts w:hint="eastAsia" w:ascii="宋体" w:hAnsi="宋体" w:cs="宋体"/>
          <w:snapToGrid w:val="0"/>
          <w:sz w:val="24"/>
        </w:rPr>
        <w:t>根据《湖南省委审计委员会关于审计全覆盖的实施意见》和全省工程建设项目招投标突出问题专项整治工作安排，需</w:t>
      </w:r>
      <w:r>
        <w:rPr>
          <w:rFonts w:hint="eastAsia" w:ascii="宋体" w:hAnsi="宋体" w:cs="宋体"/>
          <w:snapToGrid w:val="0"/>
          <w:color w:val="000000"/>
          <w:sz w:val="24"/>
        </w:rPr>
        <w:t>每年3</w:t>
      </w:r>
      <w:r>
        <w:rPr>
          <w:rFonts w:hint="eastAsia" w:ascii="宋体" w:hAnsi="宋体" w:cs="宋体"/>
          <w:snapToGrid w:val="0"/>
          <w:color w:val="000000"/>
          <w:sz w:val="24"/>
          <w:lang w:val="zh-CN"/>
        </w:rPr>
        <w:t>月</w:t>
      </w:r>
      <w:r>
        <w:rPr>
          <w:rFonts w:hint="eastAsia" w:ascii="宋体" w:hAnsi="宋体" w:cs="宋体"/>
          <w:snapToGrid w:val="0"/>
          <w:color w:val="000000"/>
          <w:sz w:val="24"/>
        </w:rPr>
        <w:t>15</w:t>
      </w:r>
      <w:r>
        <w:rPr>
          <w:rFonts w:hint="eastAsia" w:ascii="宋体" w:hAnsi="宋体" w:cs="宋体"/>
          <w:snapToGrid w:val="0"/>
          <w:color w:val="000000"/>
          <w:sz w:val="24"/>
          <w:lang w:val="zh-CN"/>
        </w:rPr>
        <w:t>日</w:t>
      </w:r>
      <w:r>
        <w:rPr>
          <w:rFonts w:hint="eastAsia" w:ascii="宋体" w:hAnsi="宋体" w:cs="宋体"/>
          <w:snapToGrid w:val="0"/>
          <w:sz w:val="24"/>
          <w:lang w:val="zh-CN"/>
        </w:rPr>
        <w:t>前报送上一年度数据，</w:t>
      </w:r>
      <w:r>
        <w:rPr>
          <w:rFonts w:hint="eastAsia" w:ascii="宋体" w:hAnsi="宋体" w:cs="宋体"/>
          <w:snapToGrid w:val="0"/>
          <w:sz w:val="24"/>
        </w:rPr>
        <w:t>现已开发招投标审计数据填报子系统，使用说明如下：</w:t>
      </w:r>
    </w:p>
    <w:p>
      <w:pPr>
        <w:numPr>
          <w:ilvl w:val="0"/>
          <w:numId w:val="1"/>
        </w:numPr>
        <w:outlineLvl w:val="1"/>
        <w:rPr>
          <w:rFonts w:hint="eastAsia" w:ascii="宋体" w:hAnsi="宋体" w:cs="宋体"/>
          <w:b/>
          <w:bCs/>
          <w:snapToGrid w:val="0"/>
          <w:sz w:val="24"/>
        </w:rPr>
      </w:pPr>
      <w:r>
        <w:rPr>
          <w:rFonts w:hint="eastAsia" w:ascii="宋体" w:hAnsi="宋体" w:cs="宋体"/>
          <w:b/>
          <w:bCs/>
          <w:snapToGrid w:val="0"/>
          <w:sz w:val="24"/>
        </w:rPr>
        <w:t>操作流程</w:t>
      </w:r>
    </w:p>
    <w:p>
      <w:pPr>
        <w:ind w:firstLine="420"/>
        <w:rPr>
          <w:rFonts w:hint="eastAsia" w:ascii="宋体" w:hAnsi="宋体" w:cs="宋体"/>
          <w:snapToGrid w:val="0"/>
          <w:sz w:val="24"/>
        </w:rPr>
      </w:pPr>
      <w:r>
        <w:rPr>
          <w:rFonts w:hint="eastAsia" w:ascii="宋体" w:hAnsi="宋体" w:cs="宋体"/>
          <w:snapToGrid w:val="0"/>
          <w:sz w:val="24"/>
        </w:rPr>
        <w:t>代理注册（如在下发工程建设交易系统已有账号则无需注册）→代理填报数据→中心汇总检查数据→中心报送审计厅。</w:t>
      </w:r>
    </w:p>
    <w:p>
      <w:pPr>
        <w:numPr>
          <w:ilvl w:val="0"/>
          <w:numId w:val="1"/>
        </w:numPr>
        <w:outlineLvl w:val="1"/>
        <w:rPr>
          <w:rFonts w:hint="eastAsia" w:ascii="宋体" w:hAnsi="宋体" w:cs="宋体"/>
          <w:b/>
          <w:bCs/>
          <w:snapToGrid w:val="0"/>
          <w:sz w:val="24"/>
        </w:rPr>
      </w:pPr>
      <w:r>
        <w:rPr>
          <w:rFonts w:hint="eastAsia" w:ascii="宋体" w:hAnsi="宋体" w:cs="宋体"/>
          <w:b/>
          <w:bCs/>
          <w:snapToGrid w:val="0"/>
          <w:sz w:val="24"/>
        </w:rPr>
        <w:t>操作方法</w:t>
      </w:r>
    </w:p>
    <w:p>
      <w:pPr>
        <w:ind w:firstLine="420"/>
        <w:rPr>
          <w:rFonts w:hint="eastAsia" w:ascii="宋体" w:hAnsi="宋体" w:cs="宋体"/>
          <w:snapToGrid w:val="0"/>
          <w:sz w:val="24"/>
        </w:rPr>
      </w:pPr>
      <w:r>
        <w:rPr>
          <w:rFonts w:hint="eastAsia" w:ascii="宋体" w:hAnsi="宋体" w:cs="宋体"/>
          <w:snapToGrid w:val="0"/>
          <w:sz w:val="24"/>
        </w:rPr>
        <w:t>该功能为工程建设交易系统中的一个子功能模块，中心工作人员和已注册的招标代理可登录系统进行数据补录，中心人员可汇总查看本中心所有项目，代理机构仅能查看补录本单位项目信息。以招标代理角色为例具体操作如下（中心工作人员操作相同）：</w:t>
      </w:r>
    </w:p>
    <w:p>
      <w:pPr>
        <w:numPr>
          <w:ilvl w:val="0"/>
          <w:numId w:val="2"/>
        </w:numPr>
        <w:outlineLvl w:val="2"/>
        <w:rPr>
          <w:rFonts w:hint="eastAsia" w:ascii="宋体" w:hAnsi="宋体" w:cs="宋体"/>
          <w:b/>
          <w:bCs/>
          <w:snapToGrid w:val="0"/>
          <w:sz w:val="24"/>
        </w:rPr>
      </w:pPr>
      <w:r>
        <w:rPr>
          <w:rFonts w:hint="eastAsia" w:ascii="宋体" w:hAnsi="宋体" w:cs="宋体"/>
          <w:b/>
          <w:bCs/>
          <w:snapToGrid w:val="0"/>
          <w:sz w:val="24"/>
        </w:rPr>
        <w:t>代理注册</w:t>
      </w:r>
    </w:p>
    <w:p>
      <w:pPr>
        <w:ind w:firstLine="420"/>
        <w:rPr>
          <w:rFonts w:hint="eastAsia" w:ascii="宋体" w:hAnsi="宋体" w:cs="宋体"/>
          <w:snapToGrid w:val="0"/>
          <w:sz w:val="24"/>
        </w:rPr>
      </w:pPr>
      <w:r>
        <w:rPr>
          <w:rFonts w:hint="eastAsia" w:ascii="宋体" w:hAnsi="宋体" w:cs="宋体"/>
          <w:snapToGrid w:val="0"/>
          <w:sz w:val="24"/>
        </w:rPr>
        <w:t>在新工程建设交易系统已有账号的招标代理无需注册；</w:t>
      </w:r>
    </w:p>
    <w:p>
      <w:pPr>
        <w:ind w:firstLine="420"/>
        <w:rPr>
          <w:rFonts w:hint="eastAsia" w:ascii="宋体" w:hAnsi="宋体" w:cs="宋体"/>
          <w:snapToGrid w:val="0"/>
          <w:sz w:val="24"/>
        </w:rPr>
      </w:pPr>
      <w:r>
        <w:rPr>
          <w:rFonts w:hint="eastAsia" w:ascii="宋体" w:hAnsi="宋体" w:cs="宋体"/>
          <w:snapToGrid w:val="0"/>
          <w:sz w:val="24"/>
        </w:rPr>
        <w:t>在新工程建设交易系统无账号的招标代理，打开对应市州交易中心交易系统登录首页，点击【免费注册】按照系统操作提示进行账号注册。</w:t>
      </w:r>
    </w:p>
    <w:p>
      <w:pPr>
        <w:jc w:val="center"/>
        <w:rPr>
          <w:rFonts w:hint="eastAsia" w:ascii="宋体" w:hAnsi="宋体" w:cs="宋体"/>
          <w:snapToGrid w:val="0"/>
          <w:sz w:val="24"/>
        </w:rPr>
      </w:pPr>
      <w:r>
        <w:rPr>
          <w:rFonts w:hint="eastAsia" w:ascii="宋体" w:hAnsi="宋体" w:cs="宋体"/>
          <w:sz w:val="24"/>
        </w:rPr>
        <w:drawing>
          <wp:inline distT="0" distB="0" distL="0" distR="0">
            <wp:extent cx="4352925" cy="2076450"/>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352925" cy="2076450"/>
                    </a:xfrm>
                    <a:prstGeom prst="rect">
                      <a:avLst/>
                    </a:prstGeom>
                    <a:noFill/>
                    <a:ln>
                      <a:noFill/>
                    </a:ln>
                  </pic:spPr>
                </pic:pic>
              </a:graphicData>
            </a:graphic>
          </wp:inline>
        </w:drawing>
      </w:r>
    </w:p>
    <w:p>
      <w:pPr>
        <w:numPr>
          <w:ilvl w:val="0"/>
          <w:numId w:val="2"/>
        </w:numPr>
        <w:outlineLvl w:val="2"/>
        <w:rPr>
          <w:rFonts w:hint="eastAsia" w:ascii="宋体" w:hAnsi="宋体" w:cs="宋体"/>
          <w:b/>
          <w:bCs/>
          <w:snapToGrid w:val="0"/>
          <w:sz w:val="24"/>
        </w:rPr>
      </w:pPr>
      <w:r>
        <w:rPr>
          <w:rFonts w:hint="eastAsia" w:ascii="宋体" w:hAnsi="宋体" w:cs="宋体"/>
          <w:b/>
          <w:bCs/>
          <w:snapToGrid w:val="0"/>
          <w:sz w:val="24"/>
        </w:rPr>
        <w:t>数据补录</w:t>
      </w:r>
    </w:p>
    <w:p>
      <w:pPr>
        <w:ind w:firstLine="420"/>
        <w:rPr>
          <w:rFonts w:hint="eastAsia" w:ascii="宋体" w:hAnsi="宋体" w:cs="宋体"/>
          <w:snapToGrid w:val="0"/>
          <w:sz w:val="24"/>
        </w:rPr>
      </w:pPr>
      <w:r>
        <w:rPr>
          <w:rFonts w:hint="eastAsia" w:ascii="宋体" w:hAnsi="宋体" w:cs="宋体"/>
          <w:snapToGrid w:val="0"/>
          <w:sz w:val="24"/>
        </w:rPr>
        <w:t>补录人员登录工程建设交易系统，找到【数据补录】菜单，对各表信息进行填报，</w:t>
      </w:r>
      <w:r>
        <w:rPr>
          <w:rFonts w:hint="eastAsia" w:ascii="宋体" w:hAnsi="宋体" w:cs="宋体"/>
          <w:sz w:val="24"/>
        </w:rPr>
        <w:t>信息补录均按照“标段”维度进行</w:t>
      </w:r>
      <w:r>
        <w:rPr>
          <w:rFonts w:hint="eastAsia" w:ascii="宋体" w:hAnsi="宋体" w:cs="宋体"/>
          <w:snapToGrid w:val="0"/>
          <w:sz w:val="24"/>
        </w:rPr>
        <w:t>。</w:t>
      </w:r>
    </w:p>
    <w:p>
      <w:pPr>
        <w:numPr>
          <w:ilvl w:val="0"/>
          <w:numId w:val="3"/>
        </w:numPr>
        <w:outlineLvl w:val="3"/>
        <w:rPr>
          <w:rFonts w:hint="eastAsia" w:ascii="宋体" w:hAnsi="宋体" w:cs="宋体"/>
          <w:snapToGrid w:val="0"/>
          <w:sz w:val="24"/>
        </w:rPr>
      </w:pPr>
      <w:r>
        <w:rPr>
          <w:rFonts w:hint="eastAsia" w:ascii="宋体" w:hAnsi="宋体" w:cs="宋体"/>
          <w:snapToGrid w:val="0"/>
          <w:sz w:val="24"/>
        </w:rPr>
        <w:t>项目信息表填报</w:t>
      </w:r>
    </w:p>
    <w:p>
      <w:pPr>
        <w:ind w:firstLine="420"/>
        <w:rPr>
          <w:rFonts w:hint="eastAsia" w:ascii="宋体" w:hAnsi="宋体" w:cs="宋体"/>
          <w:snapToGrid w:val="0"/>
          <w:sz w:val="24"/>
        </w:rPr>
      </w:pPr>
      <w:r>
        <w:rPr>
          <w:rFonts w:hint="eastAsia" w:ascii="宋体" w:hAnsi="宋体" w:cs="宋体"/>
          <w:snapToGrid w:val="0"/>
          <w:sz w:val="24"/>
        </w:rPr>
        <w:t>如果“项目信息表”中已有项目信息，但存在缺项，点击项目信息行前方的[</w:t>
      </w:r>
      <w:r>
        <w:rPr>
          <w:rFonts w:hint="eastAsia" w:ascii="宋体" w:hAnsi="宋体" w:cs="宋体"/>
          <w:b/>
          <w:bCs/>
          <w:snapToGrid w:val="0"/>
          <w:sz w:val="24"/>
        </w:rPr>
        <w:t>操作</w:t>
      </w:r>
      <w:r>
        <w:rPr>
          <w:rFonts w:hint="eastAsia" w:ascii="宋体" w:hAnsi="宋体" w:cs="宋体"/>
          <w:snapToGrid w:val="0"/>
          <w:sz w:val="24"/>
        </w:rPr>
        <w:t>]打开补录页面进行信息录入；如果表中不存在项目，则点击[</w:t>
      </w:r>
      <w:r>
        <w:rPr>
          <w:rFonts w:hint="eastAsia" w:ascii="宋体" w:hAnsi="宋体" w:cs="宋体"/>
          <w:b/>
          <w:bCs/>
          <w:snapToGrid w:val="0"/>
          <w:sz w:val="24"/>
        </w:rPr>
        <w:t>补录信息</w:t>
      </w:r>
      <w:r>
        <w:rPr>
          <w:rFonts w:hint="eastAsia" w:ascii="宋体" w:hAnsi="宋体" w:cs="宋体"/>
          <w:snapToGrid w:val="0"/>
          <w:sz w:val="24"/>
        </w:rPr>
        <w:t>]按钮进行新增录入；</w:t>
      </w:r>
    </w:p>
    <w:p>
      <w:pPr>
        <w:jc w:val="center"/>
        <w:rPr>
          <w:rFonts w:hint="eastAsia" w:ascii="宋体" w:hAnsi="宋体" w:cs="宋体"/>
          <w:sz w:val="24"/>
        </w:rPr>
      </w:pPr>
      <w:r>
        <w:rPr>
          <w:rFonts w:hint="eastAsia" w:ascii="宋体" w:hAnsi="宋体" w:cs="宋体"/>
          <w:sz w:val="24"/>
        </w:rPr>
        <w:drawing>
          <wp:inline distT="0" distB="0" distL="0" distR="0">
            <wp:extent cx="4400550" cy="2143125"/>
            <wp:effectExtent l="0" t="0" r="0"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400550" cy="2143125"/>
                    </a:xfrm>
                    <a:prstGeom prst="rect">
                      <a:avLst/>
                    </a:prstGeom>
                    <a:noFill/>
                    <a:ln>
                      <a:noFill/>
                    </a:ln>
                  </pic:spPr>
                </pic:pic>
              </a:graphicData>
            </a:graphic>
          </wp:inline>
        </w:drawing>
      </w:r>
    </w:p>
    <w:p>
      <w:pPr>
        <w:ind w:firstLine="420"/>
        <w:rPr>
          <w:rFonts w:hint="eastAsia" w:ascii="宋体" w:hAnsi="宋体" w:cs="宋体"/>
          <w:sz w:val="24"/>
        </w:rPr>
      </w:pPr>
      <w:r>
        <w:rPr>
          <w:rFonts w:hint="eastAsia" w:ascii="宋体" w:hAnsi="宋体" w:cs="宋体"/>
          <w:sz w:val="24"/>
        </w:rPr>
        <w:t>打开补录页面后，可在同一页面对4张表格进行切换录入，在[</w:t>
      </w:r>
      <w:r>
        <w:rPr>
          <w:rFonts w:hint="eastAsia" w:ascii="宋体" w:hAnsi="宋体" w:cs="宋体"/>
          <w:b/>
          <w:bCs/>
          <w:sz w:val="24"/>
        </w:rPr>
        <w:t>项目信息</w:t>
      </w:r>
      <w:r>
        <w:rPr>
          <w:rFonts w:hint="eastAsia" w:ascii="宋体" w:hAnsi="宋体" w:cs="宋体"/>
          <w:sz w:val="24"/>
        </w:rPr>
        <w:t>]页签下录入标段编号、名称、开评标时间、中标人等相关信息，录入过程中要及时保存；</w:t>
      </w:r>
    </w:p>
    <w:p>
      <w:pPr>
        <w:jc w:val="center"/>
        <w:rPr>
          <w:rFonts w:hint="eastAsia" w:ascii="宋体" w:hAnsi="宋体" w:cs="宋体"/>
          <w:sz w:val="24"/>
        </w:rPr>
      </w:pPr>
      <w:r>
        <w:rPr>
          <w:rFonts w:hint="eastAsia" w:ascii="宋体" w:hAnsi="宋体" w:cs="宋体"/>
          <w:sz w:val="24"/>
        </w:rPr>
        <w:drawing>
          <wp:inline distT="0" distB="0" distL="0" distR="0">
            <wp:extent cx="4610100" cy="2162175"/>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610100" cy="2162175"/>
                    </a:xfrm>
                    <a:prstGeom prst="rect">
                      <a:avLst/>
                    </a:prstGeom>
                    <a:noFill/>
                    <a:ln>
                      <a:noFill/>
                    </a:ln>
                  </pic:spPr>
                </pic:pic>
              </a:graphicData>
            </a:graphic>
          </wp:inline>
        </w:drawing>
      </w:r>
    </w:p>
    <w:p>
      <w:pPr>
        <w:ind w:firstLine="420"/>
        <w:rPr>
          <w:rFonts w:hint="eastAsia" w:ascii="宋体" w:hAnsi="宋体" w:cs="宋体"/>
          <w:sz w:val="24"/>
        </w:rPr>
      </w:pPr>
      <w:r>
        <w:rPr>
          <w:rFonts w:hint="eastAsia" w:ascii="宋体" w:hAnsi="宋体" w:cs="宋体"/>
          <w:sz w:val="24"/>
        </w:rPr>
        <w:t>在[</w:t>
      </w:r>
      <w:r>
        <w:rPr>
          <w:rFonts w:hint="eastAsia" w:ascii="宋体" w:hAnsi="宋体" w:cs="宋体"/>
          <w:b/>
          <w:bCs/>
          <w:sz w:val="24"/>
        </w:rPr>
        <w:t>代理信息</w:t>
      </w:r>
      <w:r>
        <w:rPr>
          <w:rFonts w:hint="eastAsia" w:ascii="宋体" w:hAnsi="宋体" w:cs="宋体"/>
          <w:sz w:val="24"/>
        </w:rPr>
        <w:t>]页签下录入代理机构名称（项目信息中如有则自动获取）、信用代码、法人相关信息；</w:t>
      </w:r>
    </w:p>
    <w:p>
      <w:pPr>
        <w:jc w:val="center"/>
        <w:rPr>
          <w:rFonts w:hint="eastAsia" w:ascii="宋体" w:hAnsi="宋体" w:cs="宋体"/>
          <w:sz w:val="24"/>
        </w:rPr>
      </w:pPr>
      <w:r>
        <w:rPr>
          <w:rFonts w:hint="eastAsia" w:ascii="宋体" w:hAnsi="宋体" w:cs="宋体"/>
          <w:sz w:val="24"/>
        </w:rPr>
        <w:drawing>
          <wp:inline distT="0" distB="0" distL="0" distR="0">
            <wp:extent cx="4600575" cy="895350"/>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00575" cy="895350"/>
                    </a:xfrm>
                    <a:prstGeom prst="rect">
                      <a:avLst/>
                    </a:prstGeom>
                    <a:noFill/>
                    <a:ln>
                      <a:noFill/>
                    </a:ln>
                  </pic:spPr>
                </pic:pic>
              </a:graphicData>
            </a:graphic>
          </wp:inline>
        </w:drawing>
      </w:r>
    </w:p>
    <w:p>
      <w:pPr>
        <w:ind w:firstLine="420"/>
        <w:rPr>
          <w:rFonts w:hint="eastAsia" w:ascii="宋体" w:hAnsi="宋体" w:cs="宋体"/>
          <w:sz w:val="24"/>
        </w:rPr>
      </w:pPr>
      <w:r>
        <w:rPr>
          <w:rFonts w:hint="eastAsia" w:ascii="宋体" w:hAnsi="宋体" w:cs="宋体"/>
          <w:sz w:val="24"/>
        </w:rPr>
        <w:t>在[</w:t>
      </w:r>
      <w:r>
        <w:rPr>
          <w:rFonts w:hint="eastAsia" w:ascii="宋体" w:hAnsi="宋体" w:cs="宋体"/>
          <w:b/>
          <w:bCs/>
          <w:sz w:val="24"/>
        </w:rPr>
        <w:t>投标单位</w:t>
      </w:r>
      <w:r>
        <w:rPr>
          <w:rFonts w:hint="eastAsia" w:ascii="宋体" w:hAnsi="宋体" w:cs="宋体"/>
          <w:sz w:val="24"/>
        </w:rPr>
        <w:t>]页签下点击[</w:t>
      </w:r>
      <w:r>
        <w:rPr>
          <w:rFonts w:hint="eastAsia" w:ascii="宋体" w:hAnsi="宋体" w:cs="宋体"/>
          <w:b/>
          <w:bCs/>
          <w:sz w:val="24"/>
        </w:rPr>
        <w:t>新增投标单位</w:t>
      </w:r>
      <w:r>
        <w:rPr>
          <w:rFonts w:hint="eastAsia" w:ascii="宋体" w:hAnsi="宋体" w:cs="宋体"/>
          <w:sz w:val="24"/>
        </w:rPr>
        <w:t>]录入投标单位相关信息；</w:t>
      </w:r>
    </w:p>
    <w:p>
      <w:pPr>
        <w:jc w:val="center"/>
        <w:rPr>
          <w:rFonts w:hint="eastAsia" w:ascii="宋体" w:hAnsi="宋体" w:cs="宋体"/>
          <w:sz w:val="24"/>
        </w:rPr>
      </w:pPr>
      <w:r>
        <w:rPr>
          <w:rFonts w:hint="eastAsia" w:ascii="宋体" w:hAnsi="宋体" w:cs="宋体"/>
          <w:sz w:val="24"/>
        </w:rPr>
        <w:drawing>
          <wp:inline distT="0" distB="0" distL="0" distR="0">
            <wp:extent cx="4657725" cy="781050"/>
            <wp:effectExtent l="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657725" cy="781050"/>
                    </a:xfrm>
                    <a:prstGeom prst="rect">
                      <a:avLst/>
                    </a:prstGeom>
                    <a:noFill/>
                    <a:ln>
                      <a:noFill/>
                    </a:ln>
                  </pic:spPr>
                </pic:pic>
              </a:graphicData>
            </a:graphic>
          </wp:inline>
        </w:drawing>
      </w:r>
    </w:p>
    <w:p>
      <w:pPr>
        <w:jc w:val="center"/>
        <w:rPr>
          <w:rFonts w:hint="eastAsia" w:ascii="宋体" w:hAnsi="宋体" w:cs="宋体"/>
          <w:sz w:val="24"/>
        </w:rPr>
      </w:pPr>
      <w:r>
        <w:rPr>
          <w:rFonts w:hint="eastAsia" w:ascii="宋体" w:hAnsi="宋体" w:cs="宋体"/>
          <w:sz w:val="24"/>
        </w:rPr>
        <w:drawing>
          <wp:inline distT="0" distB="0" distL="0" distR="0">
            <wp:extent cx="4667250" cy="187642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667250" cy="1876425"/>
                    </a:xfrm>
                    <a:prstGeom prst="rect">
                      <a:avLst/>
                    </a:prstGeom>
                    <a:noFill/>
                    <a:ln>
                      <a:noFill/>
                    </a:ln>
                  </pic:spPr>
                </pic:pic>
              </a:graphicData>
            </a:graphic>
          </wp:inline>
        </w:drawing>
      </w:r>
      <w:r>
        <w:rPr>
          <w:rFonts w:hint="eastAsia" w:ascii="宋体" w:hAnsi="宋体" w:cs="宋体"/>
          <w:sz w:val="24"/>
        </w:rPr>
        <w:drawing>
          <wp:inline distT="0" distB="0" distL="0" distR="0">
            <wp:extent cx="4714875" cy="18954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714875" cy="1895475"/>
                    </a:xfrm>
                    <a:prstGeom prst="rect">
                      <a:avLst/>
                    </a:prstGeom>
                    <a:noFill/>
                    <a:ln>
                      <a:noFill/>
                    </a:ln>
                  </pic:spPr>
                </pic:pic>
              </a:graphicData>
            </a:graphic>
          </wp:inline>
        </w:drawing>
      </w:r>
    </w:p>
    <w:p>
      <w:pPr>
        <w:ind w:firstLine="420"/>
        <w:jc w:val="center"/>
        <w:rPr>
          <w:rFonts w:hint="eastAsia" w:ascii="宋体" w:hAnsi="宋体" w:cs="宋体"/>
          <w:sz w:val="24"/>
        </w:rPr>
      </w:pPr>
      <w:r>
        <w:rPr>
          <w:rFonts w:hint="eastAsia" w:ascii="宋体" w:hAnsi="宋体" w:cs="宋体"/>
          <w:sz w:val="24"/>
        </w:rPr>
        <w:t>同时在同一页面下可录入评标委员会各评委对该投标单位的打分情况，点击[新增打分记录]按钮，项目名称、标段名称、评标时间、投标单位可自动获取，在需要专家名称、身份证号、评分处鼠标双击即可录入相关信息，则一个投标单位的信息及打分情况录入完毕；</w:t>
      </w:r>
      <w:r>
        <w:rPr>
          <w:rFonts w:hint="eastAsia" w:ascii="宋体" w:hAnsi="宋体" w:cs="宋体"/>
          <w:sz w:val="24"/>
        </w:rPr>
        <w:tab/>
      </w:r>
      <w:r>
        <w:rPr>
          <w:rFonts w:hint="eastAsia" w:ascii="宋体" w:hAnsi="宋体" w:cs="宋体"/>
          <w:sz w:val="24"/>
        </w:rPr>
        <w:drawing>
          <wp:inline distT="0" distB="0" distL="0" distR="0">
            <wp:extent cx="4581525" cy="19716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581525" cy="1971675"/>
                    </a:xfrm>
                    <a:prstGeom prst="rect">
                      <a:avLst/>
                    </a:prstGeom>
                    <a:noFill/>
                    <a:ln>
                      <a:noFill/>
                    </a:ln>
                  </pic:spPr>
                </pic:pic>
              </a:graphicData>
            </a:graphic>
          </wp:inline>
        </w:drawing>
      </w:r>
    </w:p>
    <w:p>
      <w:pPr>
        <w:ind w:firstLine="420"/>
        <w:rPr>
          <w:rFonts w:hint="eastAsia" w:ascii="宋体" w:hAnsi="宋体" w:cs="宋体"/>
          <w:sz w:val="24"/>
        </w:rPr>
      </w:pPr>
      <w:r>
        <w:rPr>
          <w:rFonts w:hint="eastAsia" w:ascii="宋体" w:hAnsi="宋体" w:cs="宋体"/>
          <w:sz w:val="24"/>
        </w:rPr>
        <w:t>在录入第二个及后续投标单位时，专家信息自动获取无需重复录入，仅录入不同单位的评分即可。</w:t>
      </w:r>
    </w:p>
    <w:p>
      <w:pPr>
        <w:rPr>
          <w:rFonts w:hint="eastAsia" w:ascii="宋体" w:hAnsi="宋体" w:cs="宋体"/>
          <w:sz w:val="24"/>
        </w:rPr>
      </w:pPr>
    </w:p>
    <w:p>
      <w:pPr>
        <w:numPr>
          <w:ilvl w:val="0"/>
          <w:numId w:val="3"/>
        </w:numPr>
        <w:outlineLvl w:val="3"/>
        <w:rPr>
          <w:rFonts w:hint="eastAsia" w:ascii="宋体" w:hAnsi="宋体" w:cs="宋体"/>
          <w:snapToGrid w:val="0"/>
          <w:sz w:val="24"/>
        </w:rPr>
      </w:pPr>
      <w:r>
        <w:rPr>
          <w:rFonts w:hint="eastAsia" w:ascii="宋体" w:hAnsi="宋体" w:cs="宋体"/>
          <w:snapToGrid w:val="0"/>
          <w:sz w:val="24"/>
        </w:rPr>
        <w:t>代理信息表填报</w:t>
      </w:r>
    </w:p>
    <w:p>
      <w:pPr>
        <w:ind w:firstLine="420"/>
        <w:rPr>
          <w:rFonts w:hint="eastAsia" w:ascii="宋体" w:hAnsi="宋体" w:cs="宋体"/>
          <w:snapToGrid w:val="0"/>
          <w:sz w:val="24"/>
        </w:rPr>
      </w:pPr>
      <w:r>
        <w:rPr>
          <w:rFonts w:hint="eastAsia" w:ascii="宋体" w:hAnsi="宋体" w:cs="宋体"/>
          <w:snapToGrid w:val="0"/>
          <w:sz w:val="24"/>
        </w:rPr>
        <w:t>通过（1）步骤录入的代理机构信息可自动同步至[</w:t>
      </w:r>
      <w:r>
        <w:rPr>
          <w:rFonts w:hint="eastAsia" w:ascii="宋体" w:hAnsi="宋体" w:cs="宋体"/>
          <w:b/>
          <w:bCs/>
          <w:snapToGrid w:val="0"/>
          <w:sz w:val="24"/>
        </w:rPr>
        <w:t>代理信息表</w:t>
      </w:r>
      <w:r>
        <w:rPr>
          <w:rFonts w:hint="eastAsia" w:ascii="宋体" w:hAnsi="宋体" w:cs="宋体"/>
          <w:snapToGrid w:val="0"/>
          <w:sz w:val="24"/>
        </w:rPr>
        <w:t>]，同一代理机构的信息无需重复录入，支持excel表导出。</w:t>
      </w:r>
    </w:p>
    <w:p>
      <w:pPr>
        <w:jc w:val="center"/>
        <w:rPr>
          <w:rFonts w:hint="eastAsia" w:ascii="宋体" w:hAnsi="宋体" w:cs="宋体"/>
          <w:snapToGrid w:val="0"/>
          <w:sz w:val="24"/>
        </w:rPr>
      </w:pPr>
      <w:r>
        <w:rPr>
          <w:rFonts w:hint="eastAsia" w:ascii="宋体" w:hAnsi="宋体" w:cs="宋体"/>
          <w:sz w:val="24"/>
        </w:rPr>
        <w:drawing>
          <wp:inline distT="0" distB="0" distL="0" distR="0">
            <wp:extent cx="4657725" cy="97155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657725" cy="971550"/>
                    </a:xfrm>
                    <a:prstGeom prst="rect">
                      <a:avLst/>
                    </a:prstGeom>
                    <a:noFill/>
                    <a:ln>
                      <a:noFill/>
                    </a:ln>
                  </pic:spPr>
                </pic:pic>
              </a:graphicData>
            </a:graphic>
          </wp:inline>
        </w:drawing>
      </w:r>
    </w:p>
    <w:p>
      <w:pPr>
        <w:numPr>
          <w:ilvl w:val="0"/>
          <w:numId w:val="3"/>
        </w:numPr>
        <w:outlineLvl w:val="3"/>
        <w:rPr>
          <w:rFonts w:hint="eastAsia" w:ascii="宋体" w:hAnsi="宋体" w:cs="宋体"/>
          <w:snapToGrid w:val="0"/>
          <w:sz w:val="24"/>
        </w:rPr>
      </w:pPr>
      <w:r>
        <w:rPr>
          <w:rFonts w:hint="eastAsia" w:ascii="宋体" w:hAnsi="宋体" w:cs="宋体"/>
          <w:snapToGrid w:val="0"/>
          <w:sz w:val="24"/>
        </w:rPr>
        <w:t>投标人信息表填报</w:t>
      </w:r>
    </w:p>
    <w:p>
      <w:pPr>
        <w:ind w:firstLine="420"/>
        <w:rPr>
          <w:rFonts w:hint="eastAsia" w:ascii="宋体" w:hAnsi="宋体" w:cs="宋体"/>
          <w:snapToGrid w:val="0"/>
          <w:sz w:val="24"/>
        </w:rPr>
      </w:pPr>
      <w:r>
        <w:rPr>
          <w:rFonts w:hint="eastAsia" w:ascii="宋体" w:hAnsi="宋体" w:cs="宋体"/>
          <w:snapToGrid w:val="0"/>
          <w:sz w:val="24"/>
        </w:rPr>
        <w:t>通过（1）步骤录入的投标单位信息可自动同步至[</w:t>
      </w:r>
      <w:r>
        <w:rPr>
          <w:rFonts w:hint="eastAsia" w:ascii="宋体" w:hAnsi="宋体" w:cs="宋体"/>
          <w:b/>
          <w:bCs/>
          <w:snapToGrid w:val="0"/>
          <w:sz w:val="24"/>
        </w:rPr>
        <w:t>投标人信息表</w:t>
      </w:r>
      <w:r>
        <w:rPr>
          <w:rFonts w:hint="eastAsia" w:ascii="宋体" w:hAnsi="宋体" w:cs="宋体"/>
          <w:snapToGrid w:val="0"/>
          <w:sz w:val="24"/>
        </w:rPr>
        <w:t>]，支持excel表导出。</w:t>
      </w:r>
    </w:p>
    <w:p>
      <w:pPr>
        <w:jc w:val="center"/>
        <w:rPr>
          <w:rFonts w:hint="eastAsia" w:ascii="宋体" w:hAnsi="宋体" w:cs="宋体"/>
          <w:snapToGrid w:val="0"/>
          <w:sz w:val="24"/>
        </w:rPr>
      </w:pPr>
      <w:r>
        <w:rPr>
          <w:rFonts w:hint="eastAsia" w:ascii="宋体" w:hAnsi="宋体" w:cs="宋体"/>
          <w:sz w:val="24"/>
        </w:rPr>
        <w:drawing>
          <wp:inline distT="0" distB="0" distL="0" distR="0">
            <wp:extent cx="4714875" cy="119062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714875" cy="1190625"/>
                    </a:xfrm>
                    <a:prstGeom prst="rect">
                      <a:avLst/>
                    </a:prstGeom>
                    <a:noFill/>
                    <a:ln>
                      <a:noFill/>
                    </a:ln>
                  </pic:spPr>
                </pic:pic>
              </a:graphicData>
            </a:graphic>
          </wp:inline>
        </w:drawing>
      </w:r>
    </w:p>
    <w:p>
      <w:pPr>
        <w:numPr>
          <w:ilvl w:val="0"/>
          <w:numId w:val="3"/>
        </w:numPr>
        <w:outlineLvl w:val="3"/>
        <w:rPr>
          <w:rFonts w:hint="eastAsia" w:ascii="宋体" w:hAnsi="宋体" w:cs="宋体"/>
          <w:snapToGrid w:val="0"/>
          <w:sz w:val="24"/>
        </w:rPr>
      </w:pPr>
      <w:r>
        <w:rPr>
          <w:rFonts w:hint="eastAsia" w:ascii="宋体" w:hAnsi="宋体" w:cs="宋体"/>
          <w:snapToGrid w:val="0"/>
          <w:sz w:val="24"/>
        </w:rPr>
        <w:t>专家打分表填报</w:t>
      </w:r>
    </w:p>
    <w:p>
      <w:pPr>
        <w:ind w:firstLine="420"/>
        <w:rPr>
          <w:rFonts w:hint="eastAsia" w:ascii="宋体" w:hAnsi="宋体" w:cs="宋体"/>
          <w:snapToGrid w:val="0"/>
          <w:sz w:val="24"/>
        </w:rPr>
      </w:pPr>
      <w:r>
        <w:rPr>
          <w:rFonts w:hint="eastAsia" w:ascii="宋体" w:hAnsi="宋体" w:cs="宋体"/>
          <w:snapToGrid w:val="0"/>
          <w:sz w:val="24"/>
        </w:rPr>
        <w:t>通过（1）步骤录入的评分信息可自动同步至[</w:t>
      </w:r>
      <w:r>
        <w:rPr>
          <w:rFonts w:hint="eastAsia" w:ascii="宋体" w:hAnsi="宋体" w:cs="宋体"/>
          <w:b/>
          <w:bCs/>
          <w:snapToGrid w:val="0"/>
          <w:sz w:val="24"/>
        </w:rPr>
        <w:t>评委打分表</w:t>
      </w:r>
      <w:r>
        <w:rPr>
          <w:rFonts w:hint="eastAsia" w:ascii="宋体" w:hAnsi="宋体" w:cs="宋体"/>
          <w:snapToGrid w:val="0"/>
          <w:sz w:val="24"/>
        </w:rPr>
        <w:t>]，支持excel表导出。</w:t>
      </w:r>
    </w:p>
    <w:p>
      <w:pPr>
        <w:jc w:val="center"/>
        <w:rPr>
          <w:rFonts w:hint="eastAsia" w:ascii="宋体" w:hAnsi="宋体" w:cs="宋体"/>
          <w:sz w:val="24"/>
        </w:rPr>
      </w:pPr>
      <w:r>
        <w:rPr>
          <w:rFonts w:hint="eastAsia" w:ascii="宋体" w:hAnsi="宋体" w:cs="宋体"/>
          <w:sz w:val="24"/>
        </w:rPr>
        <w:drawing>
          <wp:inline distT="0" distB="0" distL="0" distR="0">
            <wp:extent cx="4591050" cy="11525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591050" cy="1152525"/>
                    </a:xfrm>
                    <a:prstGeom prst="rect">
                      <a:avLst/>
                    </a:prstGeom>
                    <a:noFill/>
                    <a:ln>
                      <a:noFill/>
                    </a:ln>
                  </pic:spPr>
                </pic:pic>
              </a:graphicData>
            </a:graphic>
          </wp:inline>
        </w:drawing>
      </w:r>
    </w:p>
    <w:p>
      <w:pPr>
        <w:numPr>
          <w:ilvl w:val="0"/>
          <w:numId w:val="2"/>
        </w:numPr>
        <w:outlineLvl w:val="2"/>
        <w:rPr>
          <w:rFonts w:hint="eastAsia" w:ascii="宋体" w:hAnsi="宋体" w:cs="宋体"/>
          <w:b/>
          <w:bCs/>
          <w:snapToGrid w:val="0"/>
          <w:sz w:val="24"/>
        </w:rPr>
      </w:pPr>
      <w:r>
        <w:rPr>
          <w:rFonts w:hint="eastAsia" w:ascii="宋体" w:hAnsi="宋体" w:cs="宋体"/>
          <w:b/>
          <w:bCs/>
          <w:snapToGrid w:val="0"/>
          <w:sz w:val="24"/>
        </w:rPr>
        <w:t>数据汇总导出</w:t>
      </w:r>
    </w:p>
    <w:p>
      <w:pPr>
        <w:ind w:firstLine="420"/>
        <w:rPr>
          <w:rFonts w:hint="eastAsia" w:ascii="宋体" w:hAnsi="宋体" w:cs="宋体"/>
          <w:snapToGrid w:val="0"/>
          <w:sz w:val="24"/>
        </w:rPr>
      </w:pPr>
      <w:r>
        <w:rPr>
          <w:rFonts w:hint="eastAsia" w:ascii="宋体" w:hAnsi="宋体" w:cs="宋体"/>
          <w:snapToGrid w:val="0"/>
          <w:sz w:val="24"/>
        </w:rPr>
        <w:t>中心人员可汇总核查4张统计表并导出excel表。</w:t>
      </w:r>
    </w:p>
    <w:p>
      <w:pPr>
        <w:jc w:val="center"/>
        <w:rPr>
          <w:rFonts w:hint="eastAsia" w:ascii="宋体" w:hAnsi="宋体" w:cs="宋体"/>
          <w:sz w:val="24"/>
        </w:rPr>
      </w:pPr>
      <w:r>
        <w:rPr>
          <w:rFonts w:hint="eastAsia" w:ascii="宋体" w:hAnsi="宋体" w:cs="宋体"/>
          <w:sz w:val="24"/>
        </w:rPr>
        <w:drawing>
          <wp:inline distT="0" distB="0" distL="0" distR="0">
            <wp:extent cx="1457325" cy="17145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457325" cy="1714500"/>
                    </a:xfrm>
                    <a:prstGeom prst="rect">
                      <a:avLst/>
                    </a:prstGeom>
                    <a:noFill/>
                    <a:ln>
                      <a:noFill/>
                    </a:ln>
                  </pic:spPr>
                </pic:pic>
              </a:graphicData>
            </a:graphic>
          </wp:inline>
        </w:drawing>
      </w:r>
      <w:r>
        <w:rPr>
          <w:rFonts w:hint="eastAsia" w:ascii="宋体" w:hAnsi="宋体" w:cs="宋体"/>
          <w:sz w:val="24"/>
        </w:rPr>
        <w:drawing>
          <wp:inline distT="0" distB="0" distL="0" distR="0">
            <wp:extent cx="3028950" cy="1733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28950" cy="1733550"/>
                    </a:xfrm>
                    <a:prstGeom prst="rect">
                      <a:avLst/>
                    </a:prstGeom>
                    <a:noFill/>
                    <a:ln>
                      <a:noFill/>
                    </a:ln>
                  </pic:spPr>
                </pic:pic>
              </a:graphicData>
            </a:graphic>
          </wp:inline>
        </w:drawing>
      </w:r>
    </w:p>
    <w:p>
      <w:pPr>
        <w:numPr>
          <w:ilvl w:val="0"/>
          <w:numId w:val="2"/>
        </w:numPr>
        <w:outlineLvl w:val="2"/>
        <w:rPr>
          <w:rFonts w:hint="eastAsia" w:ascii="宋体" w:hAnsi="宋体" w:cs="宋体"/>
          <w:b/>
          <w:bCs/>
          <w:snapToGrid w:val="0"/>
          <w:sz w:val="24"/>
        </w:rPr>
      </w:pPr>
      <w:r>
        <w:rPr>
          <w:rFonts w:hint="eastAsia" w:ascii="宋体" w:hAnsi="宋体" w:cs="宋体"/>
          <w:b/>
          <w:bCs/>
          <w:snapToGrid w:val="0"/>
          <w:sz w:val="24"/>
        </w:rPr>
        <w:t>数据报送</w:t>
      </w:r>
    </w:p>
    <w:p>
      <w:pPr>
        <w:ind w:firstLine="420"/>
        <w:rPr>
          <w:rFonts w:hint="eastAsia" w:ascii="仿宋_GB2312" w:hAnsi="仿宋_GB2312" w:eastAsia="仿宋_GB2312" w:cs="仿宋_GB2312"/>
          <w:snapToGrid w:val="0"/>
          <w:sz w:val="32"/>
          <w:szCs w:val="32"/>
        </w:rPr>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pPr>
      <w:r>
        <w:rPr>
          <w:rFonts w:hint="eastAsia" w:ascii="宋体" w:hAnsi="宋体" w:cs="宋体"/>
          <w:snapToGrid w:val="0"/>
          <w:sz w:val="24"/>
        </w:rPr>
        <w:t>各市州交易中心按照要求将数据通过系统将本地审计数据上传至省交易中心，省交易中心在汇总省本级及各市州工程建设项目招投标审计数据后报送至省审计厅</w:t>
      </w:r>
      <w:r>
        <w:rPr>
          <w:rFonts w:hint="eastAsia" w:ascii="仿宋_GB2312" w:hAnsi="仿宋_GB2312" w:eastAsia="仿宋_GB2312" w:cs="仿宋_GB2312"/>
          <w:snapToGrid w:val="0"/>
          <w:sz w:val="32"/>
          <w:szCs w:val="32"/>
        </w:rPr>
        <w:t>。</w:t>
      </w:r>
    </w:p>
    <w:p>
      <w:pPr>
        <w:pStyle w:val="2"/>
        <w:spacing w:line="520" w:lineRule="exact"/>
        <w:rPr>
          <w:rFonts w:hint="eastAsia" w:ascii="黑体" w:hAnsi="黑体" w:eastAsia="黑体" w:cs="黑体"/>
          <w:sz w:val="32"/>
          <w:szCs w:val="32"/>
        </w:rPr>
      </w:pPr>
      <w:r>
        <w:rPr>
          <w:rFonts w:hint="eastAsia" w:ascii="黑体" w:hAnsi="黑体" w:eastAsia="黑体" w:cs="黑体"/>
          <w:sz w:val="32"/>
          <w:szCs w:val="32"/>
        </w:rPr>
        <w:t>附件2</w:t>
      </w:r>
    </w:p>
    <w:p>
      <w:pPr>
        <w:pStyle w:val="2"/>
        <w:spacing w:line="520" w:lineRule="exact"/>
        <w:rPr>
          <w:rFonts w:hint="eastAsia" w:ascii="仿宋_GB2312" w:hAnsi="仿宋_GB2312" w:eastAsia="仿宋_GB2312" w:cs="仿宋_GB2312"/>
          <w:snapToGrid w:val="0"/>
          <w:sz w:val="32"/>
          <w:szCs w:val="32"/>
        </w:rPr>
      </w:pPr>
    </w:p>
    <w:p>
      <w:pPr>
        <w:widowControl/>
        <w:spacing w:line="580" w:lineRule="exact"/>
        <w:jc w:val="center"/>
        <w:rPr>
          <w:rFonts w:eastAsia="方正小标宋_GBK"/>
          <w:snapToGrid w:val="0"/>
        </w:rPr>
      </w:pPr>
      <w:r>
        <w:rPr>
          <w:rFonts w:eastAsia="方正小标宋_GBK"/>
          <w:snapToGrid w:val="0"/>
          <w:sz w:val="44"/>
        </w:rPr>
        <w:t>电子数据报送责任人</w:t>
      </w:r>
      <w:r>
        <w:rPr>
          <w:rFonts w:hint="eastAsia" w:eastAsia="方正小标宋_GBK"/>
          <w:snapToGrid w:val="0"/>
          <w:sz w:val="44"/>
        </w:rPr>
        <w:t>员</w:t>
      </w:r>
      <w:r>
        <w:rPr>
          <w:rFonts w:eastAsia="方正小标宋_GBK"/>
          <w:snapToGrid w:val="0"/>
          <w:sz w:val="44"/>
        </w:rPr>
        <w:t>名单</w:t>
      </w:r>
    </w:p>
    <w:p>
      <w:pPr>
        <w:widowControl/>
        <w:spacing w:line="580" w:lineRule="exact"/>
        <w:rPr>
          <w:snapToGrid w:val="0"/>
        </w:rPr>
      </w:pPr>
    </w:p>
    <w:p>
      <w:pPr>
        <w:widowControl/>
        <w:spacing w:line="580" w:lineRule="exact"/>
        <w:jc w:val="left"/>
        <w:rPr>
          <w:rFonts w:hint="eastAsia" w:ascii="楷体" w:hAnsi="楷体" w:eastAsia="楷体" w:cs="楷体"/>
          <w:snapToGrid w:val="0"/>
        </w:rPr>
      </w:pPr>
      <w:r>
        <w:rPr>
          <w:rFonts w:hint="eastAsia" w:ascii="楷体" w:hAnsi="楷体" w:eastAsia="楷体" w:cs="楷体"/>
          <w:snapToGrid w:val="0"/>
        </w:rPr>
        <w:t>单位（盖章）：</w:t>
      </w:r>
    </w:p>
    <w:tbl>
      <w:tblPr>
        <w:tblStyle w:val="6"/>
        <w:tblW w:w="90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2"/>
        <w:gridCol w:w="1738"/>
        <w:gridCol w:w="1226"/>
        <w:gridCol w:w="2265"/>
        <w:gridCol w:w="1533"/>
        <w:gridCol w:w="1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jc w:val="center"/>
        </w:trPr>
        <w:tc>
          <w:tcPr>
            <w:tcW w:w="1042" w:type="dxa"/>
            <w:vAlign w:val="center"/>
          </w:tcPr>
          <w:p>
            <w:pPr>
              <w:spacing w:line="580" w:lineRule="exact"/>
              <w:jc w:val="center"/>
              <w:rPr>
                <w:rFonts w:hint="eastAsia" w:ascii="仿宋" w:hAnsi="仿宋" w:eastAsia="仿宋" w:cs="仿宋"/>
                <w:snapToGrid w:val="0"/>
              </w:rPr>
            </w:pPr>
            <w:r>
              <w:rPr>
                <w:rFonts w:hint="eastAsia" w:ascii="仿宋" w:hAnsi="仿宋" w:eastAsia="仿宋" w:cs="仿宋"/>
                <w:snapToGrid w:val="0"/>
              </w:rPr>
              <w:t>序号</w:t>
            </w:r>
          </w:p>
        </w:tc>
        <w:tc>
          <w:tcPr>
            <w:tcW w:w="1738" w:type="dxa"/>
            <w:vAlign w:val="center"/>
          </w:tcPr>
          <w:p>
            <w:pPr>
              <w:spacing w:line="580" w:lineRule="exact"/>
              <w:jc w:val="center"/>
              <w:rPr>
                <w:rFonts w:hint="eastAsia" w:ascii="仿宋" w:hAnsi="仿宋" w:eastAsia="仿宋" w:cs="仿宋"/>
                <w:snapToGrid w:val="0"/>
              </w:rPr>
            </w:pPr>
            <w:r>
              <w:rPr>
                <w:rFonts w:hint="eastAsia" w:ascii="仿宋" w:hAnsi="仿宋" w:eastAsia="仿宋" w:cs="仿宋"/>
                <w:snapToGrid w:val="0"/>
              </w:rPr>
              <w:t>类别</w:t>
            </w:r>
          </w:p>
        </w:tc>
        <w:tc>
          <w:tcPr>
            <w:tcW w:w="1226" w:type="dxa"/>
            <w:vAlign w:val="center"/>
          </w:tcPr>
          <w:p>
            <w:pPr>
              <w:spacing w:line="580" w:lineRule="exact"/>
              <w:jc w:val="center"/>
              <w:rPr>
                <w:rFonts w:hint="eastAsia" w:ascii="仿宋" w:hAnsi="仿宋" w:eastAsia="仿宋" w:cs="仿宋"/>
                <w:snapToGrid w:val="0"/>
              </w:rPr>
            </w:pPr>
            <w:r>
              <w:rPr>
                <w:rFonts w:hint="eastAsia" w:ascii="仿宋" w:hAnsi="仿宋" w:eastAsia="仿宋" w:cs="仿宋"/>
                <w:snapToGrid w:val="0"/>
              </w:rPr>
              <w:t>姓名</w:t>
            </w:r>
          </w:p>
        </w:tc>
        <w:tc>
          <w:tcPr>
            <w:tcW w:w="2265" w:type="dxa"/>
            <w:vAlign w:val="center"/>
          </w:tcPr>
          <w:p>
            <w:pPr>
              <w:spacing w:line="580" w:lineRule="exact"/>
              <w:jc w:val="center"/>
              <w:rPr>
                <w:rFonts w:hint="eastAsia" w:ascii="仿宋" w:hAnsi="仿宋" w:eastAsia="仿宋" w:cs="仿宋"/>
                <w:snapToGrid w:val="0"/>
              </w:rPr>
            </w:pPr>
            <w:r>
              <w:rPr>
                <w:rFonts w:hint="eastAsia" w:ascii="仿宋" w:hAnsi="仿宋" w:eastAsia="仿宋" w:cs="仿宋"/>
                <w:snapToGrid w:val="0"/>
              </w:rPr>
              <w:t>职务</w:t>
            </w:r>
          </w:p>
        </w:tc>
        <w:tc>
          <w:tcPr>
            <w:tcW w:w="1533" w:type="dxa"/>
            <w:vAlign w:val="center"/>
          </w:tcPr>
          <w:p>
            <w:pPr>
              <w:spacing w:line="580" w:lineRule="exact"/>
              <w:jc w:val="center"/>
              <w:rPr>
                <w:rFonts w:hint="eastAsia" w:ascii="仿宋" w:hAnsi="仿宋" w:eastAsia="仿宋" w:cs="仿宋"/>
                <w:snapToGrid w:val="0"/>
              </w:rPr>
            </w:pPr>
            <w:r>
              <w:rPr>
                <w:rFonts w:hint="eastAsia" w:ascii="仿宋" w:hAnsi="仿宋" w:eastAsia="仿宋" w:cs="仿宋"/>
                <w:snapToGrid w:val="0"/>
              </w:rPr>
              <w:t>联系电话</w:t>
            </w:r>
          </w:p>
        </w:tc>
        <w:tc>
          <w:tcPr>
            <w:tcW w:w="1253" w:type="dxa"/>
            <w:vAlign w:val="center"/>
          </w:tcPr>
          <w:p>
            <w:pPr>
              <w:spacing w:line="580" w:lineRule="exact"/>
              <w:jc w:val="center"/>
              <w:rPr>
                <w:rFonts w:hint="eastAsia" w:ascii="仿宋" w:hAnsi="仿宋" w:eastAsia="仿宋" w:cs="仿宋"/>
                <w:snapToGrid w:val="0"/>
              </w:rPr>
            </w:pPr>
            <w:r>
              <w:rPr>
                <w:rFonts w:hint="eastAsia" w:ascii="仿宋" w:hAnsi="仿宋" w:eastAsia="仿宋" w:cs="仿宋"/>
                <w:snapToGrid w:val="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1042" w:type="dxa"/>
          </w:tcPr>
          <w:p>
            <w:pPr>
              <w:spacing w:line="580" w:lineRule="exact"/>
              <w:jc w:val="center"/>
              <w:rPr>
                <w:rFonts w:hint="eastAsia" w:ascii="仿宋" w:hAnsi="仿宋" w:eastAsia="仿宋" w:cs="仿宋"/>
                <w:snapToGrid w:val="0"/>
              </w:rPr>
            </w:pPr>
            <w:r>
              <w:rPr>
                <w:rFonts w:hint="eastAsia" w:ascii="仿宋" w:hAnsi="仿宋" w:eastAsia="仿宋" w:cs="仿宋"/>
                <w:snapToGrid w:val="0"/>
              </w:rPr>
              <w:t>1</w:t>
            </w:r>
          </w:p>
        </w:tc>
        <w:tc>
          <w:tcPr>
            <w:tcW w:w="1738" w:type="dxa"/>
          </w:tcPr>
          <w:p>
            <w:pPr>
              <w:spacing w:line="580" w:lineRule="exact"/>
              <w:jc w:val="center"/>
              <w:rPr>
                <w:rFonts w:hint="eastAsia" w:ascii="仿宋" w:hAnsi="仿宋" w:eastAsia="仿宋" w:cs="仿宋"/>
                <w:snapToGrid w:val="0"/>
              </w:rPr>
            </w:pPr>
            <w:r>
              <w:rPr>
                <w:rFonts w:hint="eastAsia" w:ascii="仿宋" w:hAnsi="仿宋" w:eastAsia="仿宋" w:cs="仿宋"/>
                <w:snapToGrid w:val="0"/>
              </w:rPr>
              <w:t>分管领导</w:t>
            </w:r>
          </w:p>
        </w:tc>
        <w:tc>
          <w:tcPr>
            <w:tcW w:w="1226" w:type="dxa"/>
          </w:tcPr>
          <w:p>
            <w:pPr>
              <w:spacing w:line="580" w:lineRule="exact"/>
              <w:jc w:val="center"/>
              <w:rPr>
                <w:rFonts w:hint="eastAsia" w:ascii="仿宋" w:hAnsi="仿宋" w:eastAsia="仿宋" w:cs="仿宋"/>
                <w:snapToGrid w:val="0"/>
              </w:rPr>
            </w:pPr>
          </w:p>
        </w:tc>
        <w:tc>
          <w:tcPr>
            <w:tcW w:w="2265" w:type="dxa"/>
          </w:tcPr>
          <w:p>
            <w:pPr>
              <w:spacing w:line="580" w:lineRule="exact"/>
              <w:jc w:val="center"/>
              <w:rPr>
                <w:rFonts w:hint="eastAsia" w:ascii="仿宋" w:hAnsi="仿宋" w:eastAsia="仿宋" w:cs="仿宋"/>
                <w:snapToGrid w:val="0"/>
              </w:rPr>
            </w:pPr>
          </w:p>
        </w:tc>
        <w:tc>
          <w:tcPr>
            <w:tcW w:w="1533" w:type="dxa"/>
          </w:tcPr>
          <w:p>
            <w:pPr>
              <w:spacing w:line="580" w:lineRule="exact"/>
              <w:jc w:val="center"/>
              <w:rPr>
                <w:snapToGrid w:val="0"/>
              </w:rPr>
            </w:pPr>
          </w:p>
        </w:tc>
        <w:tc>
          <w:tcPr>
            <w:tcW w:w="1253" w:type="dxa"/>
          </w:tcPr>
          <w:p>
            <w:pPr>
              <w:spacing w:line="580" w:lineRule="exact"/>
              <w:jc w:val="center"/>
              <w:rPr>
                <w:snapToGrid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1042" w:type="dxa"/>
          </w:tcPr>
          <w:p>
            <w:pPr>
              <w:spacing w:line="580" w:lineRule="exact"/>
              <w:jc w:val="center"/>
              <w:rPr>
                <w:rFonts w:hint="eastAsia" w:ascii="仿宋" w:hAnsi="仿宋" w:eastAsia="仿宋" w:cs="仿宋"/>
                <w:snapToGrid w:val="0"/>
              </w:rPr>
            </w:pPr>
            <w:r>
              <w:rPr>
                <w:rFonts w:hint="eastAsia" w:ascii="仿宋" w:hAnsi="仿宋" w:eastAsia="仿宋" w:cs="仿宋"/>
                <w:snapToGrid w:val="0"/>
              </w:rPr>
              <w:t>2</w:t>
            </w:r>
          </w:p>
        </w:tc>
        <w:tc>
          <w:tcPr>
            <w:tcW w:w="1738" w:type="dxa"/>
          </w:tcPr>
          <w:p>
            <w:pPr>
              <w:spacing w:line="580" w:lineRule="exact"/>
              <w:jc w:val="center"/>
              <w:rPr>
                <w:rFonts w:hint="eastAsia" w:ascii="仿宋" w:hAnsi="仿宋" w:eastAsia="仿宋" w:cs="仿宋"/>
                <w:snapToGrid w:val="0"/>
              </w:rPr>
            </w:pPr>
            <w:r>
              <w:rPr>
                <w:rFonts w:hint="eastAsia" w:ascii="仿宋" w:hAnsi="仿宋" w:eastAsia="仿宋" w:cs="仿宋"/>
                <w:snapToGrid w:val="0"/>
              </w:rPr>
              <w:t>数据填报人员</w:t>
            </w:r>
          </w:p>
        </w:tc>
        <w:tc>
          <w:tcPr>
            <w:tcW w:w="1226" w:type="dxa"/>
          </w:tcPr>
          <w:p>
            <w:pPr>
              <w:spacing w:line="580" w:lineRule="exact"/>
              <w:jc w:val="center"/>
              <w:rPr>
                <w:rFonts w:hint="eastAsia" w:ascii="仿宋" w:hAnsi="仿宋" w:eastAsia="仿宋" w:cs="仿宋"/>
                <w:snapToGrid w:val="0"/>
              </w:rPr>
            </w:pPr>
          </w:p>
        </w:tc>
        <w:tc>
          <w:tcPr>
            <w:tcW w:w="2265" w:type="dxa"/>
          </w:tcPr>
          <w:p>
            <w:pPr>
              <w:spacing w:line="580" w:lineRule="exact"/>
              <w:jc w:val="center"/>
              <w:rPr>
                <w:rFonts w:hint="eastAsia" w:ascii="仿宋" w:hAnsi="仿宋" w:eastAsia="仿宋" w:cs="仿宋"/>
                <w:snapToGrid w:val="0"/>
              </w:rPr>
            </w:pPr>
          </w:p>
        </w:tc>
        <w:tc>
          <w:tcPr>
            <w:tcW w:w="1533" w:type="dxa"/>
          </w:tcPr>
          <w:p>
            <w:pPr>
              <w:spacing w:line="580" w:lineRule="exact"/>
              <w:jc w:val="center"/>
              <w:rPr>
                <w:snapToGrid w:val="0"/>
              </w:rPr>
            </w:pPr>
          </w:p>
        </w:tc>
        <w:tc>
          <w:tcPr>
            <w:tcW w:w="1253" w:type="dxa"/>
          </w:tcPr>
          <w:p>
            <w:pPr>
              <w:spacing w:line="580" w:lineRule="exact"/>
              <w:jc w:val="center"/>
              <w:rPr>
                <w:snapToGrid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042" w:type="dxa"/>
          </w:tcPr>
          <w:p>
            <w:pPr>
              <w:spacing w:line="580" w:lineRule="exact"/>
              <w:jc w:val="center"/>
              <w:rPr>
                <w:rFonts w:hint="eastAsia" w:ascii="仿宋" w:hAnsi="仿宋" w:eastAsia="仿宋" w:cs="仿宋"/>
                <w:snapToGrid w:val="0"/>
              </w:rPr>
            </w:pPr>
            <w:r>
              <w:rPr>
                <w:rFonts w:hint="eastAsia" w:ascii="仿宋" w:hAnsi="仿宋" w:eastAsia="仿宋" w:cs="仿宋"/>
                <w:snapToGrid w:val="0"/>
              </w:rPr>
              <w:t>3</w:t>
            </w:r>
          </w:p>
        </w:tc>
        <w:tc>
          <w:tcPr>
            <w:tcW w:w="1738" w:type="dxa"/>
          </w:tcPr>
          <w:p>
            <w:pPr>
              <w:spacing w:line="580" w:lineRule="exact"/>
              <w:jc w:val="center"/>
              <w:rPr>
                <w:rFonts w:hint="eastAsia" w:ascii="仿宋" w:hAnsi="仿宋" w:eastAsia="仿宋" w:cs="仿宋"/>
                <w:snapToGrid w:val="0"/>
              </w:rPr>
            </w:pPr>
            <w:r>
              <w:rPr>
                <w:rFonts w:hint="eastAsia" w:ascii="仿宋" w:hAnsi="仿宋" w:eastAsia="仿宋" w:cs="仿宋"/>
                <w:snapToGrid w:val="0"/>
              </w:rPr>
              <w:t>数据校对人员</w:t>
            </w:r>
          </w:p>
        </w:tc>
        <w:tc>
          <w:tcPr>
            <w:tcW w:w="1226" w:type="dxa"/>
          </w:tcPr>
          <w:p>
            <w:pPr>
              <w:spacing w:line="580" w:lineRule="exact"/>
              <w:jc w:val="center"/>
              <w:rPr>
                <w:rFonts w:hint="eastAsia" w:ascii="仿宋" w:hAnsi="仿宋" w:eastAsia="仿宋" w:cs="仿宋"/>
                <w:snapToGrid w:val="0"/>
              </w:rPr>
            </w:pPr>
          </w:p>
        </w:tc>
        <w:tc>
          <w:tcPr>
            <w:tcW w:w="2265" w:type="dxa"/>
          </w:tcPr>
          <w:p>
            <w:pPr>
              <w:spacing w:line="580" w:lineRule="exact"/>
              <w:jc w:val="center"/>
              <w:rPr>
                <w:rFonts w:hint="eastAsia" w:ascii="仿宋" w:hAnsi="仿宋" w:eastAsia="仿宋" w:cs="仿宋"/>
                <w:snapToGrid w:val="0"/>
              </w:rPr>
            </w:pPr>
          </w:p>
        </w:tc>
        <w:tc>
          <w:tcPr>
            <w:tcW w:w="1533" w:type="dxa"/>
          </w:tcPr>
          <w:p>
            <w:pPr>
              <w:spacing w:line="580" w:lineRule="exact"/>
              <w:jc w:val="center"/>
              <w:rPr>
                <w:snapToGrid w:val="0"/>
              </w:rPr>
            </w:pPr>
          </w:p>
        </w:tc>
        <w:tc>
          <w:tcPr>
            <w:tcW w:w="1253" w:type="dxa"/>
          </w:tcPr>
          <w:p>
            <w:pPr>
              <w:spacing w:line="580" w:lineRule="exact"/>
              <w:jc w:val="center"/>
              <w:rPr>
                <w:snapToGrid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042" w:type="dxa"/>
          </w:tcPr>
          <w:p>
            <w:pPr>
              <w:spacing w:line="580" w:lineRule="exact"/>
              <w:jc w:val="center"/>
              <w:rPr>
                <w:rFonts w:hint="eastAsia" w:ascii="仿宋" w:hAnsi="仿宋" w:eastAsia="仿宋" w:cs="仿宋"/>
                <w:snapToGrid w:val="0"/>
              </w:rPr>
            </w:pPr>
            <w:r>
              <w:rPr>
                <w:rFonts w:hint="eastAsia" w:ascii="仿宋" w:hAnsi="仿宋" w:eastAsia="仿宋" w:cs="仿宋"/>
                <w:snapToGrid w:val="0"/>
              </w:rPr>
              <w:t>4</w:t>
            </w:r>
          </w:p>
        </w:tc>
        <w:tc>
          <w:tcPr>
            <w:tcW w:w="1738" w:type="dxa"/>
          </w:tcPr>
          <w:p>
            <w:pPr>
              <w:spacing w:line="580" w:lineRule="exact"/>
              <w:jc w:val="center"/>
              <w:rPr>
                <w:rFonts w:hint="eastAsia" w:ascii="仿宋" w:hAnsi="仿宋" w:eastAsia="仿宋" w:cs="仿宋"/>
                <w:snapToGrid w:val="0"/>
              </w:rPr>
            </w:pPr>
            <w:r>
              <w:rPr>
                <w:rFonts w:hint="eastAsia" w:ascii="仿宋" w:hAnsi="仿宋" w:eastAsia="仿宋" w:cs="仿宋"/>
                <w:snapToGrid w:val="0"/>
              </w:rPr>
              <w:t>技术支持人员</w:t>
            </w:r>
          </w:p>
        </w:tc>
        <w:tc>
          <w:tcPr>
            <w:tcW w:w="1226" w:type="dxa"/>
          </w:tcPr>
          <w:p>
            <w:pPr>
              <w:spacing w:line="580" w:lineRule="exact"/>
              <w:jc w:val="center"/>
              <w:rPr>
                <w:rFonts w:hint="eastAsia" w:ascii="仿宋" w:hAnsi="仿宋" w:eastAsia="仿宋" w:cs="仿宋"/>
                <w:snapToGrid w:val="0"/>
              </w:rPr>
            </w:pPr>
          </w:p>
        </w:tc>
        <w:tc>
          <w:tcPr>
            <w:tcW w:w="2265" w:type="dxa"/>
          </w:tcPr>
          <w:p>
            <w:pPr>
              <w:spacing w:line="580" w:lineRule="exact"/>
              <w:jc w:val="center"/>
              <w:rPr>
                <w:rFonts w:hint="eastAsia" w:ascii="仿宋" w:hAnsi="仿宋" w:eastAsia="仿宋" w:cs="仿宋"/>
                <w:snapToGrid w:val="0"/>
              </w:rPr>
            </w:pPr>
          </w:p>
        </w:tc>
        <w:tc>
          <w:tcPr>
            <w:tcW w:w="1533" w:type="dxa"/>
          </w:tcPr>
          <w:p>
            <w:pPr>
              <w:spacing w:line="580" w:lineRule="exact"/>
              <w:jc w:val="center"/>
              <w:rPr>
                <w:snapToGrid w:val="0"/>
              </w:rPr>
            </w:pPr>
          </w:p>
        </w:tc>
        <w:tc>
          <w:tcPr>
            <w:tcW w:w="1253" w:type="dxa"/>
          </w:tcPr>
          <w:p>
            <w:pPr>
              <w:spacing w:line="580" w:lineRule="exact"/>
              <w:jc w:val="center"/>
              <w:rPr>
                <w:snapToGrid w:val="0"/>
              </w:rPr>
            </w:pPr>
          </w:p>
        </w:tc>
      </w:tr>
    </w:tbl>
    <w:p>
      <w:pPr>
        <w:pStyle w:val="2"/>
        <w:spacing w:line="520" w:lineRule="exact"/>
        <w:rPr>
          <w:rFonts w:ascii="仿宋_GB2312" w:hAnsi="仿宋_GB2312" w:eastAsia="仿宋_GB2312" w:cs="仿宋_GB2312"/>
          <w:snapToGrid w:val="0"/>
          <w:sz w:val="32"/>
          <w:szCs w:val="32"/>
        </w:rPr>
      </w:pPr>
    </w:p>
    <w:p>
      <w:pPr>
        <w:pStyle w:val="2"/>
        <w:spacing w:line="520" w:lineRule="exact"/>
        <w:rPr>
          <w:rFonts w:hint="eastAsia"/>
        </w:rPr>
      </w:pPr>
      <w:r>
        <w:rPr>
          <w:rFonts w:hint="eastAsia" w:ascii="仿宋_GB2312" w:hAnsi="仿宋_GB2312" w:eastAsia="仿宋_GB2312" w:cs="仿宋_GB2312"/>
          <w:snapToGrid w:val="0"/>
          <w:sz w:val="32"/>
          <w:szCs w:val="32"/>
        </w:rPr>
        <w:t>（请于1月15日前将</w:t>
      </w:r>
      <w:r>
        <w:rPr>
          <w:rFonts w:ascii="仿宋_GB2312" w:hAnsi="仿宋_GB2312" w:eastAsia="仿宋_GB2312" w:cs="仿宋_GB2312"/>
          <w:snapToGrid w:val="0"/>
          <w:sz w:val="32"/>
          <w:szCs w:val="32"/>
          <w:lang w:val="en"/>
        </w:rPr>
        <w:t>word</w:t>
      </w:r>
      <w:r>
        <w:rPr>
          <w:rFonts w:hint="eastAsia" w:ascii="仿宋_GB2312" w:hAnsi="仿宋_GB2312" w:eastAsia="仿宋_GB2312" w:cs="仿宋_GB2312"/>
          <w:snapToGrid w:val="0"/>
          <w:sz w:val="32"/>
          <w:szCs w:val="32"/>
          <w:lang w:val="en"/>
        </w:rPr>
        <w:t>文档及盖章后的</w:t>
      </w:r>
      <w:r>
        <w:rPr>
          <w:rFonts w:ascii="仿宋_GB2312" w:hAnsi="仿宋_GB2312" w:eastAsia="仿宋_GB2312" w:cs="仿宋_GB2312"/>
          <w:snapToGrid w:val="0"/>
          <w:sz w:val="32"/>
          <w:szCs w:val="32"/>
          <w:lang w:val="en"/>
        </w:rPr>
        <w:t>pdf</w:t>
      </w:r>
      <w:r>
        <w:rPr>
          <w:rFonts w:hint="eastAsia" w:ascii="仿宋_GB2312" w:hAnsi="仿宋_GB2312" w:eastAsia="仿宋_GB2312" w:cs="仿宋_GB2312"/>
          <w:snapToGrid w:val="0"/>
          <w:sz w:val="32"/>
          <w:szCs w:val="32"/>
          <w:lang w:val="en"/>
        </w:rPr>
        <w:t>版文档发送至邮箱</w:t>
      </w:r>
      <w:r>
        <w:rPr>
          <w:rFonts w:hint="eastAsia" w:ascii="仿宋" w:hAnsi="仿宋" w:eastAsia="仿宋" w:cs="仿宋"/>
          <w:snapToGrid w:val="0"/>
          <w:sz w:val="32"/>
          <w:szCs w:val="32"/>
        </w:rPr>
        <w:t>1974507534@</w:t>
      </w:r>
      <w:r>
        <w:rPr>
          <w:rFonts w:hint="eastAsia" w:ascii="仿宋" w:hAnsi="仿宋" w:eastAsia="仿宋" w:cs="仿宋"/>
          <w:snapToGrid w:val="0"/>
          <w:sz w:val="32"/>
          <w:szCs w:val="32"/>
          <w:lang w:val="en"/>
        </w:rPr>
        <w:t>qq.com</w:t>
      </w: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98903"/>
      <w:docPartObj>
        <w:docPartGallery w:val="AutoText"/>
      </w:docPartObj>
    </w:sdtPr>
    <w:sdtEndPr>
      <w:rPr>
        <w:rFonts w:asciiTheme="minorEastAsia" w:hAnsiTheme="minorEastAsia" w:eastAsiaTheme="minorEastAsia"/>
        <w:sz w:val="28"/>
        <w:szCs w:val="28"/>
      </w:rPr>
    </w:sdtEndPr>
    <w:sdtContent>
      <w:p>
        <w:pPr>
          <w:pStyle w:val="4"/>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7 -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8455841"/>
      <w:docPartObj>
        <w:docPartGallery w:val="AutoText"/>
      </w:docPartObj>
    </w:sdtPr>
    <w:sdtEndPr>
      <w:rPr>
        <w:rFonts w:asciiTheme="minorEastAsia" w:hAnsiTheme="minorEastAsia" w:eastAsiaTheme="minorEastAsia"/>
        <w:sz w:val="28"/>
        <w:szCs w:val="28"/>
      </w:rPr>
    </w:sdtEndPr>
    <w:sdtContent>
      <w:p>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93B781"/>
    <w:multiLevelType w:val="singleLevel"/>
    <w:tmpl w:val="A993B781"/>
    <w:lvl w:ilvl="0" w:tentative="0">
      <w:start w:val="1"/>
      <w:numFmt w:val="chineseCounting"/>
      <w:suff w:val="nothing"/>
      <w:lvlText w:val="%1、"/>
      <w:lvlJc w:val="left"/>
      <w:rPr>
        <w:rFonts w:hint="eastAsia"/>
      </w:rPr>
    </w:lvl>
  </w:abstractNum>
  <w:abstractNum w:abstractNumId="1">
    <w:nsid w:val="E0127B3F"/>
    <w:multiLevelType w:val="singleLevel"/>
    <w:tmpl w:val="E0127B3F"/>
    <w:lvl w:ilvl="0" w:tentative="0">
      <w:start w:val="1"/>
      <w:numFmt w:val="decimal"/>
      <w:suff w:val="nothing"/>
      <w:lvlText w:val="（%1）"/>
      <w:lvlJc w:val="left"/>
    </w:lvl>
  </w:abstractNum>
  <w:abstractNum w:abstractNumId="2">
    <w:nsid w:val="F747F90B"/>
    <w:multiLevelType w:val="singleLevel"/>
    <w:tmpl w:val="F747F90B"/>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330"/>
    <w:rsid w:val="00290439"/>
    <w:rsid w:val="003860F6"/>
    <w:rsid w:val="00F14330"/>
    <w:rsid w:val="65092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note text"/>
    <w:basedOn w:val="1"/>
    <w:link w:val="8"/>
    <w:qFormat/>
    <w:uiPriority w:val="0"/>
    <w:pPr>
      <w:snapToGrid w:val="0"/>
      <w:jc w:val="left"/>
    </w:pPr>
    <w:rPr>
      <w:sz w:val="18"/>
      <w:szCs w:val="18"/>
    </w:rPr>
  </w:style>
  <w:style w:type="paragraph" w:styleId="3">
    <w:name w:val="Balloon Text"/>
    <w:basedOn w:val="1"/>
    <w:link w:val="11"/>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脚注文本 Char"/>
    <w:basedOn w:val="7"/>
    <w:link w:val="2"/>
    <w:uiPriority w:val="0"/>
    <w:rPr>
      <w:rFonts w:ascii="Calibri" w:hAnsi="Calibri" w:eastAsia="宋体" w:cs="Times New Roman"/>
      <w:sz w:val="18"/>
      <w:szCs w:val="18"/>
    </w:rPr>
  </w:style>
  <w:style w:type="character" w:customStyle="1" w:styleId="9">
    <w:name w:val="页眉 Char"/>
    <w:basedOn w:val="7"/>
    <w:link w:val="5"/>
    <w:uiPriority w:val="99"/>
    <w:rPr>
      <w:rFonts w:ascii="Calibri" w:hAnsi="Calibri" w:eastAsia="宋体" w:cs="Times New Roman"/>
      <w:sz w:val="18"/>
      <w:szCs w:val="18"/>
    </w:rPr>
  </w:style>
  <w:style w:type="character" w:customStyle="1" w:styleId="10">
    <w:name w:val="页脚 Char"/>
    <w:basedOn w:val="7"/>
    <w:link w:val="4"/>
    <w:qFormat/>
    <w:uiPriority w:val="99"/>
    <w:rPr>
      <w:rFonts w:ascii="Calibri" w:hAnsi="Calibri" w:eastAsia="宋体" w:cs="Times New Roman"/>
      <w:sz w:val="18"/>
      <w:szCs w:val="18"/>
    </w:rPr>
  </w:style>
  <w:style w:type="character" w:customStyle="1" w:styleId="11">
    <w:name w:val="批注框文本 Char"/>
    <w:basedOn w:val="7"/>
    <w:link w:val="3"/>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389</Words>
  <Characters>2223</Characters>
  <Lines>18</Lines>
  <Paragraphs>5</Paragraphs>
  <TotalTime>7</TotalTime>
  <ScaleCrop>false</ScaleCrop>
  <LinksUpToDate>false</LinksUpToDate>
  <CharactersWithSpaces>2607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2021-01-08T03:30:00Z</dcterms:created>
  <dc:creator>综合部文印室</dc:creator>
  <cp:lastModifiedBy>liuyi</cp:lastModifiedBy>
  <cp:lastPrinted>2021-01-08T03:38:00Z</cp:lastPrinted>
  <dcterms:modified xsi:type="dcterms:W3CDTF">2021-01-11T01:47:53Z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