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asciiTheme="minorEastAsia" w:hAnsiTheme="minorEastAsia"/>
          <w:b/>
          <w:sz w:val="32"/>
          <w:szCs w:val="32"/>
        </w:rPr>
      </w:pPr>
      <w:r>
        <w:rPr>
          <w:rFonts w:hint="eastAsia" w:asciiTheme="minorEastAsia" w:hAnsiTheme="minorEastAsia"/>
          <w:b/>
          <w:sz w:val="32"/>
          <w:szCs w:val="32"/>
        </w:rPr>
        <w:t>湖南财政经济学院新工（文）科产教融合基地（一期）</w:t>
      </w:r>
    </w:p>
    <w:p>
      <w:pPr>
        <w:widowControl/>
        <w:spacing w:line="360" w:lineRule="auto"/>
        <w:jc w:val="center"/>
        <w:rPr>
          <w:rFonts w:asciiTheme="minorEastAsia" w:hAnsiTheme="minorEastAsia"/>
          <w:b/>
          <w:sz w:val="32"/>
          <w:szCs w:val="32"/>
        </w:rPr>
      </w:pPr>
      <w:r>
        <w:rPr>
          <w:rFonts w:hint="eastAsia" w:asciiTheme="minorEastAsia" w:hAnsiTheme="minorEastAsia"/>
          <w:b/>
          <w:sz w:val="32"/>
          <w:szCs w:val="32"/>
        </w:rPr>
        <w:t>设计与施工总承包（EPC）项目投标报价补充说明</w:t>
      </w:r>
    </w:p>
    <w:p>
      <w:pPr>
        <w:widowControl/>
        <w:spacing w:line="360" w:lineRule="auto"/>
        <w:jc w:val="left"/>
        <w:rPr>
          <w:rFonts w:asciiTheme="minorEastAsia" w:hAnsiTheme="minorEastAsia"/>
          <w:sz w:val="28"/>
          <w:szCs w:val="28"/>
        </w:rPr>
      </w:pPr>
    </w:p>
    <w:p>
      <w:pPr>
        <w:widowControl/>
        <w:spacing w:line="360" w:lineRule="auto"/>
        <w:jc w:val="left"/>
        <w:rPr>
          <w:rFonts w:asciiTheme="minorEastAsia" w:hAnsiTheme="minorEastAsia"/>
          <w:b/>
          <w:sz w:val="28"/>
          <w:szCs w:val="28"/>
        </w:rPr>
      </w:pPr>
      <w:r>
        <w:rPr>
          <w:rFonts w:hint="eastAsia" w:asciiTheme="minorEastAsia" w:hAnsiTheme="minorEastAsia"/>
          <w:b/>
          <w:sz w:val="28"/>
          <w:szCs w:val="28"/>
        </w:rPr>
        <w:t>各潜在投标人：</w:t>
      </w:r>
    </w:p>
    <w:p>
      <w:pPr>
        <w:widowControl/>
        <w:spacing w:line="360" w:lineRule="auto"/>
        <w:ind w:firstLine="560"/>
        <w:jc w:val="left"/>
        <w:rPr>
          <w:rFonts w:asciiTheme="minorEastAsia" w:hAnsiTheme="minorEastAsia"/>
          <w:b/>
          <w:sz w:val="28"/>
          <w:szCs w:val="28"/>
        </w:rPr>
      </w:pPr>
      <w:r>
        <w:rPr>
          <w:rFonts w:hint="eastAsia" w:asciiTheme="minorEastAsia" w:hAnsiTheme="minorEastAsia"/>
          <w:sz w:val="28"/>
          <w:szCs w:val="28"/>
        </w:rPr>
        <w:t>根据相关规定，招标人现发布新工（文）科产教融合基地（一期）设计与施工总承包（EPC）项目工程量清单和招标上限值。</w:t>
      </w:r>
      <w:r>
        <w:rPr>
          <w:rFonts w:hint="eastAsia" w:asciiTheme="minorEastAsia" w:hAnsiTheme="minorEastAsia"/>
          <w:b/>
          <w:sz w:val="28"/>
          <w:szCs w:val="28"/>
        </w:rPr>
        <w:t>项目招标上限值为16,500万元，包含设计费用100万元、工程费用15,900万元、不可预见费500万元；工程费用中包含拟引进社会投资商完成的须要进行单独报价的755万元。</w:t>
      </w:r>
      <w:r>
        <w:rPr>
          <w:rFonts w:hint="eastAsia" w:asciiTheme="minorEastAsia" w:hAnsiTheme="minorEastAsia"/>
          <w:sz w:val="28"/>
          <w:szCs w:val="28"/>
        </w:rPr>
        <w:t>在此，招标人对投标报价需要注意的事项特做如下补充说明。请各投标人报价时遵照执行，并结合本项目EPC招标特点，充分考虑报价风险。</w:t>
      </w:r>
    </w:p>
    <w:p>
      <w:pPr>
        <w:pStyle w:val="6"/>
        <w:spacing w:after="0" w:line="360" w:lineRule="auto"/>
        <w:ind w:left="0" w:leftChars="0"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rPr>
        <w:t>一、设计费用报价</w:t>
      </w:r>
    </w:p>
    <w:p>
      <w:pPr>
        <w:pStyle w:val="6"/>
        <w:spacing w:after="0" w:line="360" w:lineRule="auto"/>
        <w:ind w:left="0" w:leftChars="0"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包括但不限于新建项目施工图设计、维修改造项目施工图优化设计、校外高压引入校区中心配电间及厢变施工图设计（通过电力部门审图和验收）、第6/7栋学生公寓加固设计等，按四大块内容形成设计费报价。</w:t>
      </w:r>
    </w:p>
    <w:p>
      <w:pPr>
        <w:pStyle w:val="6"/>
        <w:spacing w:after="0" w:line="360" w:lineRule="auto"/>
        <w:ind w:left="0" w:leftChars="0"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rPr>
        <w:t>二、施工费用报价</w:t>
      </w:r>
    </w:p>
    <w:p>
      <w:pPr>
        <w:pStyle w:val="6"/>
        <w:spacing w:after="0" w:line="360" w:lineRule="auto"/>
        <w:ind w:left="0" w:leftChars="0"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rPr>
        <w:t>包括但不限于招标人提供的设计图纸和工程量清单中纳入招标范围的所有工程内容，即图纸和工程量清单中标注的所有项目，均需要按照招标人要求执行到位。除正负零以下基础工程因地质原因与设计、清单不一致，以及招标人原因（含双方提出经招标人认可的优化项目）允许调整的变更以外，其他均不做调整，中标单位须无条件执行到位，包括但不限于：</w:t>
      </w:r>
    </w:p>
    <w:p>
      <w:pPr>
        <w:pStyle w:val="6"/>
        <w:spacing w:after="0" w:line="360" w:lineRule="auto"/>
        <w:ind w:left="0" w:leftChars="0"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1、投标人在投标时可以根据招标人提供的图纸进行设计优化和清单数量的结构优化，并对优化事项进行可行性评估（中标后须经招标人认可）；除招标人认可的优化事项以外，均不增加结算造价；</w:t>
      </w:r>
    </w:p>
    <w:p>
      <w:pPr>
        <w:pStyle w:val="6"/>
        <w:spacing w:after="0" w:line="360" w:lineRule="auto"/>
        <w:ind w:left="0" w:leftChars="0"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2、为完成分部工程必不可少的分项工程或必要的工序在招标清单中漏项，由中标人无条件实施到位，均不增加结算造价；</w:t>
      </w:r>
    </w:p>
    <w:p>
      <w:pPr>
        <w:pStyle w:val="6"/>
        <w:spacing w:after="0" w:line="360" w:lineRule="auto"/>
        <w:ind w:left="0" w:leftChars="0"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3、项目实际施工时施工组织、施工工艺（拆除、开挖等）与清单描述不一致时允许变更，但不增加结算造价；</w:t>
      </w:r>
    </w:p>
    <w:p>
      <w:pPr>
        <w:pStyle w:val="6"/>
        <w:spacing w:after="0" w:line="360" w:lineRule="auto"/>
        <w:ind w:left="0" w:leftChars="0"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4、项目土石方和建筑垃圾外运办证、运距和卸土区选择、施工过程中扬尘/噪音治理以及与政府、周边关系的协调等均由中标人负责，并严格按照相关规定执行到位；施工期间发生的任何纠纷和处罚，均由中标人负责处理和承担，产生的费用招标人概不负责。</w:t>
      </w:r>
    </w:p>
    <w:p>
      <w:pPr>
        <w:pStyle w:val="6"/>
        <w:spacing w:after="0" w:line="360" w:lineRule="auto"/>
        <w:ind w:left="0" w:leftChars="0"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5、受初步设计图纸深度、施工图初稿设计质量限制暂未标明的相关功能，中标人须在施工图设计时按照招标人要求（详见附件一、附件二、附表一）进行限额设计和优化。施工图预算金额不得超过中标价格，结算价格不得超出概算金额，投标人报价时须充分考虑该类风险。除拟在后期引入社会资金投资的洗衣机、空调、热水、直饮水、弱电网络等智慧校园项目在招标时仅考虑管线孔洞预留、预埋以外，图纸和清单描述的项目均应包含在此次报价之内。</w:t>
      </w:r>
    </w:p>
    <w:p>
      <w:pPr>
        <w:pStyle w:val="6"/>
        <w:spacing w:after="0" w:line="360" w:lineRule="auto"/>
        <w:ind w:left="0" w:leftChars="0"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6、招标人拟在后期引进社会资金对部分项目进行投资。整个校区10栋学生公寓每间户内控制箱、照明灯具、开关、插座和配套管线，以及冷水给水管件和阀门安装，均由空调/洗衣机/热水/直饮水项目的投资商承建；整个校区的电信网络、无线网络、门禁、车禁、监控、智能水表、智能电表、冷热水电控、消费POS机、一卡通、多媒体教学、公共广播、远程抄表、能源管理等智慧校园项目涉及的所有基础设施配套和设备，均由智慧校园项目的投资商承建。</w:t>
      </w:r>
      <w:r>
        <w:rPr>
          <w:rFonts w:hint="eastAsia" w:asciiTheme="minorEastAsia" w:hAnsiTheme="minorEastAsia" w:eastAsiaTheme="minorEastAsia"/>
          <w:b/>
          <w:sz w:val="28"/>
          <w:szCs w:val="28"/>
        </w:rPr>
        <w:t>上述项目投标人报价优惠后不得低于755万元；报价所包含的内容除满足本条要求外，未明确之处参照附件三《湖南财政经济学院雷锋校区热水、直饮水、洗衣机、空调及智慧校园建设BOT项目》招标文件的技术要点。</w:t>
      </w:r>
      <w:r>
        <w:rPr>
          <w:rFonts w:hint="eastAsia" w:asciiTheme="minorEastAsia" w:hAnsiTheme="minorEastAsia" w:eastAsiaTheme="minorEastAsia"/>
          <w:sz w:val="28"/>
          <w:szCs w:val="28"/>
        </w:rPr>
        <w:t>如果学校最终确定引入社会投资，则由投资商与EPC项目中标人进行结算，学校在竣工结算时直接扣回该部分报价款；中标人低于上述报价时，按照招标人约定的报价扣回。</w:t>
      </w:r>
    </w:p>
    <w:p>
      <w:pPr>
        <w:pStyle w:val="6"/>
        <w:spacing w:after="0" w:line="360" w:lineRule="auto"/>
        <w:ind w:left="0" w:leftChars="0"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7、投标人投标时不考虑总包服务费报价，项目实施过程中由总包人与各专业分包自行协商。由招标人安排的EPC招标范围以外的项目（包括但不限于中央空调、社会资金投资的空调/洗衣机/热水/直饮水和智慧校园项目等），EPC总包人最高按照工程费用（不含设备费）1.5%向承建人收取总包服务费，招标人另行采购的家具、课桌椅、教学实验设备等项目不得收取总包服务费。EPC总包人以外的项目承建人，在项目实施过程中导致其他已完工程毁损，由双方自行协调解决。</w:t>
      </w:r>
    </w:p>
    <w:p>
      <w:pPr>
        <w:pStyle w:val="6"/>
        <w:spacing w:after="0" w:line="360" w:lineRule="auto"/>
        <w:ind w:left="0" w:leftChars="0"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8、新建三栋学生公寓周边已做档土墙设计和计价，公寓桩基在施工图设计中可以进行优化，节约的造价由提出方与对方5：5分成。此次EPC招标范围内其他项目设计方案优化，均参照该比例分成。</w:t>
      </w:r>
    </w:p>
    <w:p>
      <w:pPr>
        <w:pStyle w:val="6"/>
        <w:spacing w:after="0" w:line="360" w:lineRule="auto"/>
        <w:ind w:left="0" w:leftChars="0"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rPr>
        <w:t>9、投标人投标时须按照招标文件明确的主要材料品牌报价，实施过程中非招标人要求，须严格按照招标文件明确的品牌选材。具体主体品牌要求，详见附件四。</w:t>
      </w:r>
    </w:p>
    <w:p>
      <w:pPr>
        <w:pStyle w:val="6"/>
        <w:spacing w:after="0" w:line="360" w:lineRule="auto"/>
        <w:ind w:left="0" w:leftChars="0"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10、特别说明：（1）提请投标人仔细阅读附件一、附件二、附件三和附表一的内容。除由学校引进的空调/洗衣机/热水/直饮水项目和智慧校园项目投资商承建部分限定报价以外，图纸和工程量清单已经明确或修改的按照图纸和清单描述执行；图纸（未达到施工图深度）和清单还未明确或修改的，由投标人在投标时自行完善；未完善到位的项目中标后须无条件执行到位，不增加结算造价。（2）上述要求与招标文件或合同条款不一致的，均以上述要求为准。</w:t>
      </w:r>
    </w:p>
    <w:p>
      <w:pPr>
        <w:widowControl/>
        <w:spacing w:line="360" w:lineRule="auto"/>
        <w:ind w:firstLine="560"/>
        <w:jc w:val="left"/>
        <w:rPr>
          <w:rFonts w:asciiTheme="minorEastAsia" w:hAnsiTheme="minorEastAsia"/>
          <w:b/>
          <w:sz w:val="28"/>
          <w:szCs w:val="28"/>
        </w:rPr>
      </w:pPr>
      <w:r>
        <w:rPr>
          <w:rFonts w:hint="eastAsia" w:asciiTheme="minorEastAsia" w:hAnsiTheme="minorEastAsia"/>
          <w:b/>
          <w:sz w:val="28"/>
          <w:szCs w:val="28"/>
        </w:rPr>
        <w:t>三、不可预见费</w:t>
      </w:r>
    </w:p>
    <w:p>
      <w:pPr>
        <w:widowControl/>
        <w:spacing w:line="360" w:lineRule="auto"/>
        <w:ind w:firstLine="560"/>
        <w:jc w:val="left"/>
        <w:rPr>
          <w:rFonts w:asciiTheme="minorEastAsia" w:hAnsiTheme="minorEastAsia"/>
          <w:b/>
          <w:sz w:val="28"/>
          <w:szCs w:val="28"/>
        </w:rPr>
      </w:pPr>
      <w:r>
        <w:rPr>
          <w:rFonts w:hint="eastAsia" w:asciiTheme="minorEastAsia" w:hAnsiTheme="minorEastAsia"/>
          <w:b/>
          <w:sz w:val="28"/>
          <w:szCs w:val="28"/>
        </w:rPr>
        <w:t>项目单列不可预见费500万元，实行总额控制。投标人报价时按照规定进行单列，不得下浮。不可预见费的使用归招标人，用于招标人认可的单笔50万元以上工程量清单重大漏项和学校确认的必要变更。</w:t>
      </w:r>
    </w:p>
    <w:p>
      <w:pPr>
        <w:pStyle w:val="6"/>
        <w:spacing w:after="0" w:line="360" w:lineRule="auto"/>
        <w:ind w:left="0" w:leftChars="0"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highlight w:val="cyan"/>
        </w:rPr>
        <w:t>上述所有报价要求，投标人须无条件响应，否则做无效投标处理。</w:t>
      </w:r>
    </w:p>
    <w:p>
      <w:pPr>
        <w:widowControl/>
        <w:jc w:val="left"/>
        <w:rPr>
          <w:rFonts w:cs="仿宋" w:asciiTheme="minorEastAsia" w:hAnsiTheme="minorEastAsia"/>
          <w:bCs/>
          <w:sz w:val="28"/>
          <w:szCs w:val="28"/>
        </w:rPr>
      </w:pPr>
      <w:r>
        <w:rPr>
          <w:rFonts w:cs="仿宋" w:asciiTheme="minorEastAsia" w:hAnsiTheme="minorEastAsia"/>
          <w:bCs/>
          <w:sz w:val="28"/>
          <w:szCs w:val="28"/>
        </w:rPr>
        <w:br w:type="page"/>
      </w:r>
    </w:p>
    <w:p>
      <w:pPr>
        <w:spacing w:line="360" w:lineRule="auto"/>
        <w:rPr>
          <w:rFonts w:cs="仿宋" w:asciiTheme="minorEastAsia" w:hAnsiTheme="minorEastAsia"/>
          <w:bCs/>
          <w:sz w:val="28"/>
          <w:szCs w:val="28"/>
        </w:rPr>
      </w:pPr>
      <w:r>
        <w:rPr>
          <w:rFonts w:hint="eastAsia" w:cs="仿宋" w:asciiTheme="minorEastAsia" w:hAnsiTheme="minorEastAsia"/>
          <w:bCs/>
          <w:sz w:val="28"/>
          <w:szCs w:val="28"/>
        </w:rPr>
        <w:t>附件一：</w:t>
      </w:r>
    </w:p>
    <w:p>
      <w:pPr>
        <w:spacing w:line="360" w:lineRule="auto"/>
        <w:jc w:val="center"/>
        <w:rPr>
          <w:rFonts w:cs="仿宋" w:asciiTheme="minorEastAsia" w:hAnsiTheme="minorEastAsia"/>
          <w:b/>
          <w:bCs/>
          <w:sz w:val="28"/>
          <w:szCs w:val="28"/>
        </w:rPr>
      </w:pPr>
      <w:r>
        <w:rPr>
          <w:rFonts w:hint="eastAsia" w:cs="仿宋" w:asciiTheme="minorEastAsia" w:hAnsiTheme="minorEastAsia"/>
          <w:b/>
          <w:bCs/>
          <w:sz w:val="28"/>
          <w:szCs w:val="28"/>
        </w:rPr>
        <w:t>学生公寓、实训教学综合楼功能设计要求</w:t>
      </w:r>
    </w:p>
    <w:p>
      <w:pPr>
        <w:spacing w:line="360" w:lineRule="auto"/>
        <w:jc w:val="center"/>
        <w:rPr>
          <w:rFonts w:cs="仿宋" w:asciiTheme="minorEastAsia" w:hAnsiTheme="minorEastAsia"/>
          <w:b/>
          <w:bCs/>
          <w:sz w:val="28"/>
          <w:szCs w:val="28"/>
        </w:rPr>
      </w:pPr>
    </w:p>
    <w:p>
      <w:pPr>
        <w:spacing w:line="360" w:lineRule="auto"/>
        <w:ind w:firstLine="562" w:firstLineChars="200"/>
        <w:rPr>
          <w:rFonts w:cs="仿宋" w:asciiTheme="minorEastAsia" w:hAnsiTheme="minorEastAsia"/>
          <w:b/>
          <w:bCs/>
          <w:sz w:val="28"/>
          <w:szCs w:val="28"/>
        </w:rPr>
      </w:pPr>
      <w:r>
        <w:rPr>
          <w:rFonts w:hint="eastAsia" w:cs="仿宋" w:asciiTheme="minorEastAsia" w:hAnsiTheme="minorEastAsia"/>
          <w:b/>
          <w:bCs/>
          <w:sz w:val="28"/>
          <w:szCs w:val="28"/>
        </w:rPr>
        <w:t>一、学生公寓</w:t>
      </w:r>
    </w:p>
    <w:p>
      <w:pPr>
        <w:spacing w:line="360" w:lineRule="auto"/>
        <w:ind w:firstLine="610"/>
        <w:rPr>
          <w:rFonts w:cs="仿宋" w:asciiTheme="minorEastAsia" w:hAnsiTheme="minorEastAsia"/>
          <w:bCs/>
          <w:sz w:val="28"/>
          <w:szCs w:val="28"/>
        </w:rPr>
      </w:pPr>
      <w:r>
        <w:rPr>
          <w:rFonts w:hint="eastAsia" w:cs="仿宋" w:asciiTheme="minorEastAsia" w:hAnsiTheme="minorEastAsia"/>
          <w:bCs/>
          <w:sz w:val="28"/>
          <w:szCs w:val="28"/>
        </w:rPr>
        <w:t>1、功能入户：学生使用的卫生间、淋浴间、洗漱间、洗衣机、空调、热水、直饮水、网络、电风扇、凉衣绳全部设置在宿舍内。</w:t>
      </w:r>
    </w:p>
    <w:p>
      <w:pPr>
        <w:spacing w:line="360" w:lineRule="auto"/>
        <w:ind w:firstLine="610"/>
        <w:rPr>
          <w:rFonts w:cs="仿宋" w:asciiTheme="minorEastAsia" w:hAnsiTheme="minorEastAsia"/>
          <w:bCs/>
          <w:sz w:val="28"/>
          <w:szCs w:val="28"/>
        </w:rPr>
      </w:pPr>
      <w:r>
        <w:rPr>
          <w:rFonts w:hint="eastAsia" w:cs="仿宋" w:asciiTheme="minorEastAsia" w:hAnsiTheme="minorEastAsia"/>
          <w:bCs/>
          <w:sz w:val="28"/>
          <w:szCs w:val="28"/>
        </w:rPr>
        <w:t>2、所有宿舍窗户安装纱窗，卫生间窗户装磨沙玻璃、其他窗户安装窗帘。</w:t>
      </w:r>
    </w:p>
    <w:p>
      <w:pPr>
        <w:spacing w:line="360" w:lineRule="auto"/>
        <w:ind w:firstLine="610"/>
        <w:rPr>
          <w:rFonts w:cs="仿宋" w:asciiTheme="minorEastAsia" w:hAnsiTheme="minorEastAsia"/>
          <w:bCs/>
          <w:sz w:val="28"/>
          <w:szCs w:val="28"/>
        </w:rPr>
      </w:pPr>
      <w:r>
        <w:rPr>
          <w:rFonts w:hint="eastAsia" w:cs="仿宋" w:asciiTheme="minorEastAsia" w:hAnsiTheme="minorEastAsia"/>
          <w:bCs/>
          <w:sz w:val="28"/>
          <w:szCs w:val="28"/>
        </w:rPr>
        <w:t>3、每层走廊尽头摆设两台烘干机，设置一个公共拖把池。</w:t>
      </w:r>
    </w:p>
    <w:p>
      <w:pPr>
        <w:spacing w:line="360" w:lineRule="auto"/>
        <w:ind w:firstLine="610"/>
        <w:rPr>
          <w:rFonts w:cs="仿宋" w:asciiTheme="minorEastAsia" w:hAnsiTheme="minorEastAsia"/>
          <w:bCs/>
          <w:sz w:val="28"/>
          <w:szCs w:val="28"/>
        </w:rPr>
      </w:pPr>
      <w:r>
        <w:rPr>
          <w:rFonts w:hint="eastAsia" w:cs="仿宋" w:asciiTheme="minorEastAsia" w:hAnsiTheme="minorEastAsia"/>
          <w:bCs/>
          <w:sz w:val="28"/>
          <w:szCs w:val="28"/>
        </w:rPr>
        <w:t>4、安全设计：窗户限位、通透护栏高1.2米以上、所有门不使用玻璃材质。</w:t>
      </w:r>
    </w:p>
    <w:p>
      <w:pPr>
        <w:spacing w:line="360" w:lineRule="auto"/>
        <w:ind w:firstLine="610"/>
        <w:rPr>
          <w:rFonts w:cs="仿宋" w:asciiTheme="minorEastAsia" w:hAnsiTheme="minorEastAsia"/>
          <w:bCs/>
          <w:sz w:val="28"/>
          <w:szCs w:val="28"/>
        </w:rPr>
      </w:pPr>
      <w:r>
        <w:rPr>
          <w:rFonts w:hint="eastAsia" w:cs="仿宋" w:asciiTheme="minorEastAsia" w:hAnsiTheme="minorEastAsia"/>
          <w:bCs/>
          <w:sz w:val="28"/>
          <w:szCs w:val="28"/>
        </w:rPr>
        <w:t>5、排水口、下水主管道加粗一个规格。</w:t>
      </w:r>
    </w:p>
    <w:p>
      <w:pPr>
        <w:spacing w:line="360" w:lineRule="auto"/>
        <w:ind w:firstLine="610"/>
        <w:rPr>
          <w:rFonts w:cs="仿宋" w:asciiTheme="minorEastAsia" w:hAnsiTheme="minorEastAsia"/>
          <w:bCs/>
          <w:sz w:val="28"/>
          <w:szCs w:val="28"/>
        </w:rPr>
      </w:pPr>
      <w:r>
        <w:rPr>
          <w:rFonts w:hint="eastAsia" w:cs="仿宋" w:asciiTheme="minorEastAsia" w:hAnsiTheme="minorEastAsia"/>
          <w:bCs/>
          <w:sz w:val="28"/>
          <w:szCs w:val="28"/>
        </w:rPr>
        <w:t>6、每栋安装入户门禁系统。</w:t>
      </w:r>
    </w:p>
    <w:p>
      <w:pPr>
        <w:spacing w:line="360" w:lineRule="auto"/>
        <w:ind w:firstLine="610"/>
        <w:rPr>
          <w:rFonts w:cs="仿宋" w:asciiTheme="minorEastAsia" w:hAnsiTheme="minorEastAsia"/>
          <w:bCs/>
          <w:sz w:val="28"/>
          <w:szCs w:val="28"/>
        </w:rPr>
      </w:pPr>
      <w:r>
        <w:rPr>
          <w:rFonts w:hint="eastAsia" w:cs="仿宋" w:asciiTheme="minorEastAsia" w:hAnsiTheme="minorEastAsia"/>
          <w:bCs/>
          <w:sz w:val="28"/>
          <w:szCs w:val="28"/>
        </w:rPr>
        <w:t>7、每间宿舍除空调、洗衣机设置独立回路插座以外，还需要设置9个（4*2+1）带开关的五孔电力插座和4个网络插座，具体位置根据家具样式确定。在设计位置时，要考虑与床、桌椅、空调等家具位置适应，确保家具放入后，用电插座不被家具遮挡或导致距离过远、电器电线不够长等情况出现（特别是空调位置）。</w:t>
      </w:r>
    </w:p>
    <w:p>
      <w:pPr>
        <w:spacing w:line="360" w:lineRule="auto"/>
        <w:ind w:firstLine="610"/>
        <w:rPr>
          <w:rFonts w:cs="仿宋" w:asciiTheme="minorEastAsia" w:hAnsiTheme="minorEastAsia"/>
          <w:bCs/>
          <w:sz w:val="28"/>
          <w:szCs w:val="28"/>
        </w:rPr>
      </w:pPr>
      <w:r>
        <w:rPr>
          <w:rFonts w:hint="eastAsia" w:cs="仿宋" w:asciiTheme="minorEastAsia" w:hAnsiTheme="minorEastAsia"/>
          <w:bCs/>
          <w:sz w:val="28"/>
          <w:szCs w:val="28"/>
        </w:rPr>
        <w:t>8、统筹考虑学生用电安全，实行用电负荷限额管理和漏电保护设计。</w:t>
      </w:r>
    </w:p>
    <w:p>
      <w:pPr>
        <w:spacing w:line="360" w:lineRule="auto"/>
        <w:ind w:firstLine="610"/>
        <w:rPr>
          <w:rFonts w:cs="仿宋" w:asciiTheme="minorEastAsia" w:hAnsiTheme="minorEastAsia"/>
          <w:bCs/>
          <w:sz w:val="28"/>
          <w:szCs w:val="28"/>
        </w:rPr>
      </w:pPr>
      <w:r>
        <w:rPr>
          <w:rFonts w:hint="eastAsia" w:cs="仿宋" w:asciiTheme="minorEastAsia" w:hAnsiTheme="minorEastAsia"/>
          <w:bCs/>
          <w:sz w:val="28"/>
          <w:szCs w:val="28"/>
        </w:rPr>
        <w:t>9、所有公寓用电均采用远程操控和抄表缴费。</w:t>
      </w:r>
    </w:p>
    <w:p>
      <w:pPr>
        <w:spacing w:line="360" w:lineRule="auto"/>
        <w:ind w:firstLine="610"/>
        <w:rPr>
          <w:rFonts w:cs="仿宋" w:asciiTheme="minorEastAsia" w:hAnsiTheme="minorEastAsia"/>
          <w:b/>
          <w:bCs/>
          <w:sz w:val="28"/>
          <w:szCs w:val="28"/>
        </w:rPr>
      </w:pPr>
      <w:r>
        <w:rPr>
          <w:rFonts w:hint="eastAsia" w:cs="仿宋" w:asciiTheme="minorEastAsia" w:hAnsiTheme="minorEastAsia"/>
          <w:b/>
          <w:bCs/>
          <w:sz w:val="28"/>
          <w:szCs w:val="28"/>
        </w:rPr>
        <w:t>二、实训教学综合楼</w:t>
      </w:r>
    </w:p>
    <w:p>
      <w:pPr>
        <w:spacing w:line="360" w:lineRule="auto"/>
        <w:ind w:firstLine="610"/>
        <w:rPr>
          <w:rFonts w:cs="仿宋" w:asciiTheme="minorEastAsia" w:hAnsiTheme="minorEastAsia"/>
          <w:bCs/>
          <w:sz w:val="28"/>
          <w:szCs w:val="28"/>
        </w:rPr>
      </w:pPr>
      <w:r>
        <w:rPr>
          <w:rFonts w:hint="eastAsia" w:cs="仿宋" w:asciiTheme="minorEastAsia" w:hAnsiTheme="minorEastAsia"/>
          <w:bCs/>
          <w:sz w:val="28"/>
          <w:szCs w:val="28"/>
        </w:rPr>
        <w:t>1、教务处对教室功能要求：</w:t>
      </w:r>
    </w:p>
    <w:p>
      <w:pPr>
        <w:spacing w:line="360" w:lineRule="auto"/>
        <w:ind w:firstLine="610"/>
        <w:rPr>
          <w:rFonts w:cs="仿宋" w:asciiTheme="minorEastAsia" w:hAnsiTheme="minorEastAsia"/>
          <w:bCs/>
          <w:sz w:val="28"/>
          <w:szCs w:val="28"/>
        </w:rPr>
      </w:pPr>
      <w:r>
        <w:rPr>
          <w:rFonts w:hint="eastAsia" w:cs="仿宋" w:asciiTheme="minorEastAsia" w:hAnsiTheme="minorEastAsia"/>
          <w:bCs/>
          <w:sz w:val="28"/>
          <w:szCs w:val="28"/>
        </w:rPr>
        <w:t>（1）28人、56人教室全部设置为活动课桌椅的智慧教室，其他每间教室要考虑适合活动桌椅摆放；</w:t>
      </w:r>
    </w:p>
    <w:p>
      <w:pPr>
        <w:spacing w:line="360" w:lineRule="auto"/>
        <w:ind w:firstLine="610"/>
        <w:rPr>
          <w:rFonts w:cs="仿宋" w:asciiTheme="minorEastAsia" w:hAnsiTheme="minorEastAsia"/>
          <w:bCs/>
          <w:sz w:val="28"/>
          <w:szCs w:val="28"/>
        </w:rPr>
      </w:pPr>
      <w:r>
        <w:rPr>
          <w:rFonts w:hint="eastAsia" w:cs="仿宋" w:asciiTheme="minorEastAsia" w:hAnsiTheme="minorEastAsia"/>
          <w:bCs/>
          <w:sz w:val="28"/>
          <w:szCs w:val="28"/>
        </w:rPr>
        <w:t>（2）每间教室都需要千兆网络及wifi，无限路由1到2个；</w:t>
      </w:r>
    </w:p>
    <w:p>
      <w:pPr>
        <w:spacing w:line="360" w:lineRule="auto"/>
        <w:ind w:firstLine="610"/>
        <w:rPr>
          <w:rFonts w:cs="仿宋" w:asciiTheme="minorEastAsia" w:hAnsiTheme="minorEastAsia"/>
          <w:bCs/>
          <w:sz w:val="28"/>
          <w:szCs w:val="28"/>
        </w:rPr>
      </w:pPr>
      <w:r>
        <w:rPr>
          <w:rFonts w:hint="eastAsia" w:cs="仿宋" w:asciiTheme="minorEastAsia" w:hAnsiTheme="minorEastAsia"/>
          <w:bCs/>
          <w:sz w:val="28"/>
          <w:szCs w:val="28"/>
        </w:rPr>
        <w:t>（3）尽量满足标准化考场需求，包括监控系统，5G网络屏蔽等；</w:t>
      </w:r>
    </w:p>
    <w:p>
      <w:pPr>
        <w:spacing w:line="360" w:lineRule="auto"/>
        <w:ind w:firstLine="610"/>
        <w:rPr>
          <w:rFonts w:cs="仿宋" w:asciiTheme="minorEastAsia" w:hAnsiTheme="minorEastAsia"/>
          <w:bCs/>
          <w:sz w:val="28"/>
          <w:szCs w:val="28"/>
        </w:rPr>
      </w:pPr>
      <w:r>
        <w:rPr>
          <w:rFonts w:hint="eastAsia" w:cs="仿宋" w:asciiTheme="minorEastAsia" w:hAnsiTheme="minorEastAsia"/>
          <w:bCs/>
          <w:sz w:val="28"/>
          <w:szCs w:val="28"/>
        </w:rPr>
        <w:t>（4）多媒体教学系统，包括云桌面、终端、显示器、讲台、黑板及投影仪、考试监控、音频、广播（上下课铃声）、电子显示屏等位置的确定和留孔；</w:t>
      </w:r>
    </w:p>
    <w:p>
      <w:pPr>
        <w:spacing w:line="360" w:lineRule="auto"/>
        <w:ind w:firstLine="610"/>
        <w:rPr>
          <w:rFonts w:cs="仿宋" w:asciiTheme="minorEastAsia" w:hAnsiTheme="minorEastAsia"/>
          <w:bCs/>
          <w:sz w:val="28"/>
          <w:szCs w:val="28"/>
        </w:rPr>
      </w:pPr>
      <w:r>
        <w:rPr>
          <w:rFonts w:hint="eastAsia" w:cs="仿宋" w:asciiTheme="minorEastAsia" w:hAnsiTheme="minorEastAsia"/>
          <w:bCs/>
          <w:sz w:val="28"/>
          <w:szCs w:val="28"/>
        </w:rPr>
        <w:t>（5）教室前后各安装2个插座孔，侧向每隔两座安装一个插座孔；</w:t>
      </w:r>
    </w:p>
    <w:p>
      <w:pPr>
        <w:spacing w:line="360" w:lineRule="auto"/>
        <w:ind w:firstLine="610"/>
        <w:rPr>
          <w:rFonts w:cs="仿宋" w:asciiTheme="minorEastAsia" w:hAnsiTheme="minorEastAsia"/>
          <w:bCs/>
          <w:sz w:val="28"/>
          <w:szCs w:val="28"/>
        </w:rPr>
      </w:pPr>
      <w:r>
        <w:rPr>
          <w:rFonts w:hint="eastAsia" w:cs="仿宋" w:asciiTheme="minorEastAsia" w:hAnsiTheme="minorEastAsia"/>
          <w:bCs/>
          <w:sz w:val="28"/>
          <w:szCs w:val="28"/>
        </w:rPr>
        <w:t>（6）每间教室安装电风扇、窗帘；</w:t>
      </w:r>
    </w:p>
    <w:p>
      <w:pPr>
        <w:spacing w:line="360" w:lineRule="auto"/>
        <w:ind w:firstLine="560" w:firstLineChars="200"/>
        <w:rPr>
          <w:rFonts w:cs="仿宋" w:asciiTheme="minorEastAsia" w:hAnsiTheme="minorEastAsia"/>
          <w:bCs/>
          <w:sz w:val="28"/>
          <w:szCs w:val="28"/>
        </w:rPr>
      </w:pPr>
      <w:r>
        <w:rPr>
          <w:rFonts w:hint="eastAsia" w:cs="仿宋" w:asciiTheme="minorEastAsia" w:hAnsiTheme="minorEastAsia"/>
          <w:bCs/>
          <w:sz w:val="28"/>
          <w:szCs w:val="28"/>
        </w:rPr>
        <w:t>（7）所有教室、实验室中央空调采用多联模块机、用电单独回路设计，用电和中央空调（多联机）采用远程操控；</w:t>
      </w:r>
    </w:p>
    <w:p>
      <w:pPr>
        <w:spacing w:line="360" w:lineRule="auto"/>
        <w:ind w:firstLine="560"/>
        <w:rPr>
          <w:rFonts w:cs="仿宋" w:asciiTheme="minorEastAsia" w:hAnsiTheme="minorEastAsia"/>
          <w:bCs/>
          <w:sz w:val="28"/>
          <w:szCs w:val="28"/>
        </w:rPr>
      </w:pPr>
      <w:r>
        <w:rPr>
          <w:rFonts w:hint="eastAsia" w:cs="仿宋" w:asciiTheme="minorEastAsia" w:hAnsiTheme="minorEastAsia"/>
          <w:bCs/>
          <w:sz w:val="28"/>
          <w:szCs w:val="28"/>
        </w:rPr>
        <w:t>（8）进入教学楼采用统一门禁系统。</w:t>
      </w:r>
    </w:p>
    <w:p>
      <w:pPr>
        <w:spacing w:line="360" w:lineRule="auto"/>
        <w:ind w:firstLine="610"/>
        <w:rPr>
          <w:rFonts w:cs="仿宋" w:asciiTheme="minorEastAsia" w:hAnsiTheme="minorEastAsia"/>
          <w:bCs/>
          <w:sz w:val="28"/>
          <w:szCs w:val="28"/>
        </w:rPr>
      </w:pPr>
      <w:r>
        <w:rPr>
          <w:rFonts w:hint="eastAsia" w:cs="仿宋" w:asciiTheme="minorEastAsia" w:hAnsiTheme="minorEastAsia"/>
          <w:bCs/>
          <w:sz w:val="28"/>
          <w:szCs w:val="28"/>
        </w:rPr>
        <w:t>2、实验实训中心对实验室功能要求：</w:t>
      </w:r>
    </w:p>
    <w:p>
      <w:pPr>
        <w:spacing w:line="360" w:lineRule="auto"/>
        <w:ind w:firstLine="610"/>
        <w:rPr>
          <w:rFonts w:cs="仿宋" w:asciiTheme="minorEastAsia" w:hAnsiTheme="minorEastAsia"/>
          <w:bCs/>
          <w:sz w:val="28"/>
          <w:szCs w:val="28"/>
        </w:rPr>
      </w:pPr>
      <w:r>
        <w:rPr>
          <w:rFonts w:hint="eastAsia" w:cs="仿宋" w:asciiTheme="minorEastAsia" w:hAnsiTheme="minorEastAsia"/>
          <w:bCs/>
          <w:sz w:val="28"/>
          <w:szCs w:val="28"/>
        </w:rPr>
        <w:t>（1）每间实验室要求网络通畅，电力负荷均衡。具体为网络要求每间实验室四芯光纤进户，保留终端盒；强电要求为60人机房不低于40kw，100人机房不低于60kw，另外中央空调设计须考虑机房的特殊情况，应适当增加出风口数量；</w:t>
      </w:r>
    </w:p>
    <w:p>
      <w:pPr>
        <w:spacing w:line="360" w:lineRule="auto"/>
        <w:ind w:firstLine="610"/>
        <w:rPr>
          <w:rFonts w:cs="仿宋" w:asciiTheme="minorEastAsia" w:hAnsiTheme="minorEastAsia"/>
          <w:bCs/>
          <w:sz w:val="28"/>
          <w:szCs w:val="28"/>
        </w:rPr>
      </w:pPr>
      <w:r>
        <w:rPr>
          <w:rFonts w:hint="eastAsia" w:cs="仿宋" w:asciiTheme="minorEastAsia" w:hAnsiTheme="minorEastAsia"/>
          <w:bCs/>
          <w:sz w:val="28"/>
          <w:szCs w:val="28"/>
        </w:rPr>
        <w:t>（2）每层要考虑出入口统一管理，既要考虑防火，也要考虑财产安全，设置卫生间；</w:t>
      </w:r>
    </w:p>
    <w:p>
      <w:pPr>
        <w:spacing w:line="360" w:lineRule="auto"/>
        <w:ind w:firstLine="610"/>
        <w:rPr>
          <w:rFonts w:cs="仿宋" w:asciiTheme="minorEastAsia" w:hAnsiTheme="minorEastAsia"/>
          <w:bCs/>
          <w:sz w:val="28"/>
          <w:szCs w:val="28"/>
        </w:rPr>
      </w:pPr>
      <w:r>
        <w:rPr>
          <w:rFonts w:hint="eastAsia" w:cs="仿宋" w:asciiTheme="minorEastAsia" w:hAnsiTheme="minorEastAsia"/>
          <w:bCs/>
          <w:sz w:val="28"/>
          <w:szCs w:val="28"/>
        </w:rPr>
        <w:t>（3）所有实验室进出统一门禁，设置监控。</w:t>
      </w:r>
    </w:p>
    <w:p>
      <w:pPr>
        <w:pStyle w:val="6"/>
        <w:spacing w:after="0" w:line="360" w:lineRule="auto"/>
        <w:ind w:left="0" w:leftChars="0"/>
        <w:rPr>
          <w:rFonts w:asciiTheme="minorEastAsia" w:hAnsiTheme="minorEastAsia" w:eastAsiaTheme="minorEastAsia"/>
          <w:b/>
          <w:sz w:val="28"/>
          <w:szCs w:val="28"/>
        </w:rPr>
      </w:pPr>
      <w:r>
        <w:rPr>
          <w:rFonts w:hint="eastAsia" w:asciiTheme="minorEastAsia" w:hAnsiTheme="minorEastAsia" w:eastAsiaTheme="minorEastAsia"/>
          <w:sz w:val="28"/>
          <w:szCs w:val="28"/>
        </w:rPr>
        <w:t>附件二：</w:t>
      </w:r>
    </w:p>
    <w:p>
      <w:pPr>
        <w:pStyle w:val="6"/>
        <w:spacing w:after="0" w:line="360" w:lineRule="auto"/>
        <w:ind w:left="0" w:leftChars="0"/>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工程量清单核对补齐会议纪要</w:t>
      </w:r>
    </w:p>
    <w:p>
      <w:pPr>
        <w:pStyle w:val="6"/>
        <w:spacing w:after="0" w:line="360" w:lineRule="auto"/>
        <w:ind w:left="0" w:leftChars="0"/>
        <w:jc w:val="center"/>
        <w:rPr>
          <w:rFonts w:asciiTheme="minorEastAsia" w:hAnsiTheme="minorEastAsia" w:eastAsiaTheme="minorEastAsia"/>
          <w:b/>
          <w:sz w:val="28"/>
          <w:szCs w:val="28"/>
        </w:rPr>
      </w:pPr>
    </w:p>
    <w:p>
      <w:pPr>
        <w:pStyle w:val="6"/>
        <w:spacing w:after="0" w:line="360" w:lineRule="auto"/>
        <w:ind w:left="0" w:leftChars="0"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为了确保工程量清单项目不漏项，在前期将新建项目初步设计图纸和维修改造施工图初稿发给各职能部门征求意见基础上，指挥部在2020年12月30-31就相关部门提出的影响工程量清单和招标上限值的事项进行了现场沟通，结合后期书面反馈意见，形成以下会议纪要，请造价咨询公司对工程量清单进行完善。</w:t>
      </w:r>
    </w:p>
    <w:p>
      <w:pPr>
        <w:pStyle w:val="6"/>
        <w:spacing w:after="0" w:line="360" w:lineRule="auto"/>
        <w:ind w:left="0" w:leftChars="0"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1、图书馆：一、三楼阅览室每间房增加插座至24个、增加两组灯管。</w:t>
      </w:r>
    </w:p>
    <w:p>
      <w:pPr>
        <w:pStyle w:val="6"/>
        <w:spacing w:after="0" w:line="360" w:lineRule="auto"/>
        <w:ind w:left="0" w:leftChars="0"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2、体育学院：将两个排球场改为篮球场，场中划排球标线，400米田径场增加6套高杆大灯（含配电箱、电缆、高杆灯等），400米田径场变更为人工草坪。</w:t>
      </w:r>
    </w:p>
    <w:p>
      <w:pPr>
        <w:pStyle w:val="6"/>
        <w:spacing w:after="0" w:line="360" w:lineRule="auto"/>
        <w:ind w:left="0" w:leftChars="0"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3、保卫处：所有消防器材，按照智慧消防系统验收要求配置到位。</w:t>
      </w:r>
    </w:p>
    <w:p>
      <w:pPr>
        <w:pStyle w:val="6"/>
        <w:spacing w:after="0" w:line="360" w:lineRule="auto"/>
        <w:ind w:left="0" w:leftChars="0"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4、网络信息中心：弱电中心机房确定在第一办公楼一楼，从校门到中心机房及中心机房沿主马路设置600*700弱电沟（留检查井），主马路到楼栋预埋一根110mm的7孔梅花管，所有楼栋入户穿层及楼层设置桥架，楼层房间留多媒体信息点；原设计图纸上标注的网线全部改为光纤。</w:t>
      </w:r>
    </w:p>
    <w:p>
      <w:pPr>
        <w:pStyle w:val="6"/>
        <w:spacing w:after="0" w:line="360" w:lineRule="auto"/>
        <w:ind w:left="0" w:leftChars="0"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5、学生处：新建和改造项目的窗户均考虑纱窗、窗帘轨道。</w:t>
      </w:r>
    </w:p>
    <w:p>
      <w:pPr>
        <w:pStyle w:val="6"/>
        <w:spacing w:after="0" w:line="360" w:lineRule="auto"/>
        <w:ind w:left="0" w:leftChars="0"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6、</w:t>
      </w:r>
      <w:r>
        <w:rPr>
          <w:rFonts w:hint="eastAsia" w:asciiTheme="minorEastAsia" w:hAnsiTheme="minorEastAsia" w:eastAsiaTheme="minorEastAsia"/>
          <w:sz w:val="28"/>
          <w:szCs w:val="28"/>
        </w:rPr>
        <w:t>实验实训中心：第二教学楼按照网络信息中心的要求入户穿层及楼层设置桥架。</w:t>
      </w:r>
    </w:p>
    <w:p>
      <w:pPr>
        <w:pStyle w:val="6"/>
        <w:spacing w:after="0" w:line="360" w:lineRule="auto"/>
        <w:ind w:left="0" w:leftChars="0"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7、后勤处：</w:t>
      </w:r>
    </w:p>
    <w:p>
      <w:pPr>
        <w:pStyle w:val="6"/>
        <w:spacing w:after="0" w:line="360" w:lineRule="auto"/>
        <w:ind w:left="0" w:leftChars="0"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给排水部分，给水池在校门口考虑1000T，需要占用红线以外土地；消防水池设计700T，学校提出利用现有田径场内300T蓄水池替代，并将消防水池与生活水池连通，确保消防水池容量达标；6-8栋学生公寓室外排水管由300mm改为400mm。</w:t>
      </w:r>
    </w:p>
    <w:p>
      <w:pPr>
        <w:pStyle w:val="6"/>
        <w:spacing w:after="0" w:line="360" w:lineRule="auto"/>
        <w:ind w:left="0" w:leftChars="0"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强电部分，经与两家设计院商量，结合校内实际情况后决定雷锋校区整体容量配置5515KVA，具体按照以下方案分配：</w:t>
      </w:r>
    </w:p>
    <w:p>
      <w:pPr>
        <w:pStyle w:val="6"/>
        <w:spacing w:after="0" w:line="360" w:lineRule="auto"/>
        <w:ind w:left="0" w:leftChars="0"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1）实训楼中心配电间配置2台并联800-1250KVA变压器（初设图上反映1250KAV，施工图优化至800KAV），控制实训楼和6/7/8学生公寓；（2）新建3/4/5栋学生公寓、第二教学楼、图书馆配置2台1000KAV厢式变压器；（3）第二办公楼、乒羽中心、文化活动中心配置1台315 KVA变压器；（4）第一食堂、第二食堂、两栋教职工宿舍配置1台800 KVA厢式变压器；（5）第1/2学生公寓、第一办公楼配置1台800 KVA厢式变压器。上述变压器中一台315KAV、一台800KAV厢式变压器可以利用现有设备移位解决。</w:t>
      </w:r>
    </w:p>
    <w:p>
      <w:pPr>
        <w:pStyle w:val="6"/>
        <w:spacing w:after="0" w:line="360" w:lineRule="auto"/>
        <w:ind w:left="0" w:leftChars="0" w:firstLine="560" w:firstLineChars="200"/>
        <w:rPr>
          <w:rFonts w:cs="仿宋" w:asciiTheme="minorEastAsia" w:hAnsiTheme="minorEastAsia"/>
          <w:bCs/>
          <w:sz w:val="28"/>
          <w:szCs w:val="28"/>
        </w:rPr>
        <w:sectPr>
          <w:footerReference r:id="rId3" w:type="default"/>
          <w:pgSz w:w="11906" w:h="16838"/>
          <w:pgMar w:top="1440" w:right="1800" w:bottom="1440" w:left="1800" w:header="851" w:footer="992" w:gutter="0"/>
          <w:cols w:space="425" w:num="1"/>
          <w:docGrid w:type="lines" w:linePitch="312" w:charSpace="0"/>
        </w:sectPr>
      </w:pPr>
      <w:r>
        <w:rPr>
          <w:rFonts w:hint="eastAsia" w:asciiTheme="minorEastAsia" w:hAnsiTheme="minorEastAsia" w:eastAsiaTheme="minorEastAsia"/>
          <w:sz w:val="28"/>
          <w:szCs w:val="28"/>
        </w:rPr>
        <w:t>另外，请造价咨询公司做清单和上限值时注明或增加相应工程数量：（1）给水泵房考虑无负压变频供水设备；（2）考虑安装节水计量设备；（3）中心配电间考虑预留1台高压出线屏柜；（4）考虑安装远程控制后台系统；（5）低压所有断路器考虑电控操作；（6）考虑安装通讯管理机传送数据；（7）低压配电间及箱变考虑预留同型号、功率备用开关各1个；（8）所有高压快屏柜按照中置开关考虑；（9）高压进校电缆按照3*185规格650米考虑。</w:t>
      </w:r>
      <w:r>
        <w:rPr>
          <w:rFonts w:hint="eastAsia" w:cs="仿宋" w:asciiTheme="minorEastAsia" w:hAnsiTheme="minorEastAsia"/>
          <w:bCs/>
          <w:sz w:val="28"/>
          <w:szCs w:val="28"/>
        </w:rPr>
        <w:t xml:space="preserve"> </w:t>
      </w:r>
    </w:p>
    <w:p>
      <w:r>
        <w:rPr>
          <w:rFonts w:hint="eastAsia"/>
        </w:rPr>
        <w:t>附表一：</w:t>
      </w:r>
    </w:p>
    <w:tbl>
      <w:tblPr>
        <w:tblStyle w:val="11"/>
        <w:tblW w:w="13860" w:type="dxa"/>
        <w:tblInd w:w="93" w:type="dxa"/>
        <w:tblLayout w:type="autofit"/>
        <w:tblCellMar>
          <w:top w:w="0" w:type="dxa"/>
          <w:left w:w="108" w:type="dxa"/>
          <w:bottom w:w="0" w:type="dxa"/>
          <w:right w:w="108" w:type="dxa"/>
        </w:tblCellMar>
      </w:tblPr>
      <w:tblGrid>
        <w:gridCol w:w="920"/>
        <w:gridCol w:w="980"/>
        <w:gridCol w:w="980"/>
        <w:gridCol w:w="1120"/>
        <w:gridCol w:w="1360"/>
        <w:gridCol w:w="1580"/>
        <w:gridCol w:w="1080"/>
        <w:gridCol w:w="1040"/>
        <w:gridCol w:w="1340"/>
        <w:gridCol w:w="1160"/>
        <w:gridCol w:w="1020"/>
        <w:gridCol w:w="1280"/>
      </w:tblGrid>
      <w:tr>
        <w:tblPrEx>
          <w:tblCellMar>
            <w:top w:w="0" w:type="dxa"/>
            <w:left w:w="108" w:type="dxa"/>
            <w:bottom w:w="0" w:type="dxa"/>
            <w:right w:w="108" w:type="dxa"/>
          </w:tblCellMar>
        </w:tblPrEx>
        <w:trPr>
          <w:trHeight w:val="1000" w:hRule="atLeast"/>
        </w:trPr>
        <w:tc>
          <w:tcPr>
            <w:tcW w:w="13860" w:type="dxa"/>
            <w:gridSpan w:val="12"/>
            <w:tcBorders>
              <w:top w:val="nil"/>
              <w:left w:val="nil"/>
              <w:bottom w:val="nil"/>
              <w:right w:val="nil"/>
            </w:tcBorders>
            <w:shd w:val="clear" w:color="auto" w:fill="auto"/>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雷锋校区旧房维修改造内容一览表</w:t>
            </w:r>
          </w:p>
        </w:tc>
      </w:tr>
      <w:tr>
        <w:tblPrEx>
          <w:tblCellMar>
            <w:top w:w="0" w:type="dxa"/>
            <w:left w:w="108" w:type="dxa"/>
            <w:bottom w:w="0" w:type="dxa"/>
            <w:right w:w="108" w:type="dxa"/>
          </w:tblCellMar>
        </w:tblPrEx>
        <w:trPr>
          <w:trHeight w:val="800" w:hRule="atLeast"/>
        </w:trPr>
        <w:tc>
          <w:tcPr>
            <w:tcW w:w="920" w:type="dxa"/>
            <w:tcBorders>
              <w:top w:val="single" w:color="auto" w:sz="8" w:space="0"/>
              <w:left w:val="single" w:color="auto" w:sz="8" w:space="0"/>
              <w:bottom w:val="single" w:color="auto" w:sz="8" w:space="0"/>
              <w:right w:val="single" w:color="auto" w:sz="8" w:space="0"/>
            </w:tcBorders>
            <w:shd w:val="clear" w:color="auto" w:fill="auto"/>
            <w:vAlign w:val="center"/>
          </w:tcPr>
          <w:p>
            <w:pPr>
              <w:widowControl/>
              <w:jc w:val="center"/>
              <w:rPr>
                <w:rFonts w:ascii="宋体" w:hAnsi="宋体" w:eastAsia="宋体" w:cs="宋体"/>
                <w:b/>
                <w:bCs/>
                <w:kern w:val="0"/>
                <w:sz w:val="18"/>
                <w:szCs w:val="18"/>
              </w:rPr>
            </w:pPr>
            <w:r>
              <w:rPr>
                <w:rFonts w:hint="eastAsia" w:ascii="宋体" w:hAnsi="宋体" w:eastAsia="宋体" w:cs="宋体"/>
                <w:b/>
                <w:bCs/>
                <w:kern w:val="0"/>
                <w:sz w:val="18"/>
                <w:szCs w:val="18"/>
              </w:rPr>
              <w:t>项  目</w:t>
            </w:r>
          </w:p>
        </w:tc>
        <w:tc>
          <w:tcPr>
            <w:tcW w:w="980" w:type="dxa"/>
            <w:tcBorders>
              <w:top w:val="single" w:color="auto" w:sz="8" w:space="0"/>
              <w:left w:val="nil"/>
              <w:bottom w:val="single" w:color="auto" w:sz="8" w:space="0"/>
              <w:right w:val="single" w:color="auto" w:sz="4" w:space="0"/>
            </w:tcBorders>
            <w:shd w:val="clear" w:color="auto" w:fill="auto"/>
            <w:vAlign w:val="center"/>
          </w:tcPr>
          <w:p>
            <w:pPr>
              <w:widowControl/>
              <w:jc w:val="center"/>
              <w:rPr>
                <w:rFonts w:ascii="宋体" w:hAnsi="宋体" w:eastAsia="宋体" w:cs="宋体"/>
                <w:b/>
                <w:bCs/>
                <w:kern w:val="0"/>
                <w:sz w:val="18"/>
                <w:szCs w:val="18"/>
              </w:rPr>
            </w:pPr>
            <w:r>
              <w:rPr>
                <w:rFonts w:hint="eastAsia" w:ascii="宋体" w:hAnsi="宋体" w:eastAsia="宋体" w:cs="宋体"/>
                <w:b/>
                <w:bCs/>
                <w:kern w:val="0"/>
                <w:sz w:val="18"/>
                <w:szCs w:val="18"/>
              </w:rPr>
              <w:t>1#</w:t>
            </w:r>
            <w:r>
              <w:rPr>
                <w:rFonts w:hint="eastAsia" w:ascii="宋体" w:hAnsi="宋体" w:eastAsia="宋体" w:cs="宋体"/>
                <w:b/>
                <w:bCs/>
                <w:kern w:val="0"/>
                <w:sz w:val="18"/>
                <w:szCs w:val="18"/>
              </w:rPr>
              <w:br w:type="textWrapping"/>
            </w:r>
            <w:r>
              <w:rPr>
                <w:rFonts w:hint="eastAsia" w:ascii="宋体" w:hAnsi="宋体" w:eastAsia="宋体" w:cs="宋体"/>
                <w:b/>
                <w:bCs/>
                <w:kern w:val="0"/>
                <w:sz w:val="18"/>
                <w:szCs w:val="18"/>
              </w:rPr>
              <w:t>学生公寓</w:t>
            </w:r>
          </w:p>
        </w:tc>
        <w:tc>
          <w:tcPr>
            <w:tcW w:w="980" w:type="dxa"/>
            <w:tcBorders>
              <w:top w:val="single" w:color="auto" w:sz="8" w:space="0"/>
              <w:left w:val="nil"/>
              <w:bottom w:val="single" w:color="auto" w:sz="8" w:space="0"/>
              <w:right w:val="single" w:color="auto" w:sz="4" w:space="0"/>
            </w:tcBorders>
            <w:shd w:val="clear" w:color="auto" w:fill="auto"/>
            <w:vAlign w:val="center"/>
          </w:tcPr>
          <w:p>
            <w:pPr>
              <w:widowControl/>
              <w:jc w:val="center"/>
              <w:rPr>
                <w:rFonts w:ascii="宋体" w:hAnsi="宋体" w:eastAsia="宋体" w:cs="宋体"/>
                <w:b/>
                <w:bCs/>
                <w:kern w:val="0"/>
                <w:sz w:val="18"/>
                <w:szCs w:val="18"/>
              </w:rPr>
            </w:pPr>
            <w:r>
              <w:rPr>
                <w:rFonts w:hint="eastAsia" w:ascii="宋体" w:hAnsi="宋体" w:eastAsia="宋体" w:cs="宋体"/>
                <w:b/>
                <w:bCs/>
                <w:kern w:val="0"/>
                <w:sz w:val="18"/>
                <w:szCs w:val="18"/>
              </w:rPr>
              <w:t>2#</w:t>
            </w:r>
            <w:r>
              <w:rPr>
                <w:rFonts w:hint="eastAsia" w:ascii="宋体" w:hAnsi="宋体" w:eastAsia="宋体" w:cs="宋体"/>
                <w:b/>
                <w:bCs/>
                <w:kern w:val="0"/>
                <w:sz w:val="18"/>
                <w:szCs w:val="18"/>
              </w:rPr>
              <w:br w:type="textWrapping"/>
            </w:r>
            <w:r>
              <w:rPr>
                <w:rFonts w:hint="eastAsia" w:ascii="宋体" w:hAnsi="宋体" w:eastAsia="宋体" w:cs="宋体"/>
                <w:b/>
                <w:bCs/>
                <w:kern w:val="0"/>
                <w:sz w:val="18"/>
                <w:szCs w:val="18"/>
              </w:rPr>
              <w:t>学生公寓</w:t>
            </w:r>
          </w:p>
        </w:tc>
        <w:tc>
          <w:tcPr>
            <w:tcW w:w="1120" w:type="dxa"/>
            <w:tcBorders>
              <w:top w:val="single" w:color="auto" w:sz="8" w:space="0"/>
              <w:left w:val="nil"/>
              <w:bottom w:val="single" w:color="auto" w:sz="8" w:space="0"/>
              <w:right w:val="single" w:color="auto" w:sz="4" w:space="0"/>
            </w:tcBorders>
            <w:shd w:val="clear" w:color="auto" w:fill="auto"/>
            <w:vAlign w:val="center"/>
          </w:tcPr>
          <w:p>
            <w:pPr>
              <w:widowControl/>
              <w:jc w:val="center"/>
              <w:rPr>
                <w:rFonts w:ascii="宋体" w:hAnsi="宋体" w:eastAsia="宋体" w:cs="宋体"/>
                <w:b/>
                <w:bCs/>
                <w:kern w:val="0"/>
                <w:sz w:val="18"/>
                <w:szCs w:val="18"/>
              </w:rPr>
            </w:pPr>
            <w:r>
              <w:rPr>
                <w:rFonts w:hint="eastAsia" w:ascii="宋体" w:hAnsi="宋体" w:eastAsia="宋体" w:cs="宋体"/>
                <w:b/>
                <w:bCs/>
                <w:kern w:val="0"/>
                <w:sz w:val="18"/>
                <w:szCs w:val="18"/>
              </w:rPr>
              <w:t>678#</w:t>
            </w:r>
            <w:r>
              <w:rPr>
                <w:rFonts w:hint="eastAsia" w:ascii="宋体" w:hAnsi="宋体" w:eastAsia="宋体" w:cs="宋体"/>
                <w:b/>
                <w:bCs/>
                <w:kern w:val="0"/>
                <w:sz w:val="18"/>
                <w:szCs w:val="18"/>
              </w:rPr>
              <w:br w:type="textWrapping"/>
            </w:r>
            <w:r>
              <w:rPr>
                <w:rFonts w:hint="eastAsia" w:ascii="宋体" w:hAnsi="宋体" w:eastAsia="宋体" w:cs="宋体"/>
                <w:b/>
                <w:bCs/>
                <w:kern w:val="0"/>
                <w:sz w:val="18"/>
                <w:szCs w:val="18"/>
              </w:rPr>
              <w:t>学生公寓</w:t>
            </w:r>
          </w:p>
        </w:tc>
        <w:tc>
          <w:tcPr>
            <w:tcW w:w="1360" w:type="dxa"/>
            <w:tcBorders>
              <w:top w:val="single" w:color="auto" w:sz="8" w:space="0"/>
              <w:left w:val="nil"/>
              <w:bottom w:val="single" w:color="auto" w:sz="8" w:space="0"/>
              <w:right w:val="single" w:color="auto" w:sz="4" w:space="0"/>
            </w:tcBorders>
            <w:shd w:val="clear" w:color="auto" w:fill="auto"/>
            <w:vAlign w:val="center"/>
          </w:tcPr>
          <w:p>
            <w:pPr>
              <w:widowControl/>
              <w:jc w:val="center"/>
              <w:rPr>
                <w:rFonts w:ascii="宋体" w:hAnsi="宋体" w:eastAsia="宋体" w:cs="宋体"/>
                <w:b/>
                <w:bCs/>
                <w:kern w:val="0"/>
                <w:sz w:val="18"/>
                <w:szCs w:val="18"/>
              </w:rPr>
            </w:pPr>
            <w:r>
              <w:rPr>
                <w:rFonts w:hint="eastAsia" w:ascii="宋体" w:hAnsi="宋体" w:eastAsia="宋体" w:cs="宋体"/>
                <w:b/>
                <w:bCs/>
                <w:kern w:val="0"/>
                <w:sz w:val="18"/>
                <w:szCs w:val="18"/>
              </w:rPr>
              <w:t>1#教职工宿舍（公寓部分）</w:t>
            </w:r>
          </w:p>
        </w:tc>
        <w:tc>
          <w:tcPr>
            <w:tcW w:w="1580" w:type="dxa"/>
            <w:tcBorders>
              <w:top w:val="single" w:color="auto" w:sz="8" w:space="0"/>
              <w:left w:val="nil"/>
              <w:bottom w:val="single" w:color="auto" w:sz="8" w:space="0"/>
              <w:right w:val="single" w:color="auto" w:sz="4" w:space="0"/>
            </w:tcBorders>
            <w:shd w:val="clear" w:color="auto" w:fill="auto"/>
            <w:vAlign w:val="center"/>
          </w:tcPr>
          <w:p>
            <w:pPr>
              <w:widowControl/>
              <w:jc w:val="center"/>
              <w:rPr>
                <w:rFonts w:ascii="宋体" w:hAnsi="宋体" w:eastAsia="宋体" w:cs="宋体"/>
                <w:b/>
                <w:bCs/>
                <w:kern w:val="0"/>
                <w:sz w:val="18"/>
                <w:szCs w:val="18"/>
              </w:rPr>
            </w:pPr>
            <w:r>
              <w:rPr>
                <w:rFonts w:hint="eastAsia" w:ascii="宋体" w:hAnsi="宋体" w:eastAsia="宋体" w:cs="宋体"/>
                <w:b/>
                <w:bCs/>
                <w:kern w:val="0"/>
                <w:sz w:val="18"/>
                <w:szCs w:val="18"/>
              </w:rPr>
              <w:t>2#教职工宿舍（公寓部分）</w:t>
            </w:r>
          </w:p>
        </w:tc>
        <w:tc>
          <w:tcPr>
            <w:tcW w:w="1080" w:type="dxa"/>
            <w:tcBorders>
              <w:top w:val="single" w:color="auto" w:sz="8" w:space="0"/>
              <w:left w:val="nil"/>
              <w:bottom w:val="single" w:color="auto" w:sz="8" w:space="0"/>
              <w:right w:val="single" w:color="auto" w:sz="4" w:space="0"/>
            </w:tcBorders>
            <w:shd w:val="clear" w:color="auto" w:fill="auto"/>
            <w:vAlign w:val="center"/>
          </w:tcPr>
          <w:p>
            <w:pPr>
              <w:widowControl/>
              <w:jc w:val="center"/>
              <w:rPr>
                <w:rFonts w:ascii="宋体" w:hAnsi="宋体" w:eastAsia="宋体" w:cs="宋体"/>
                <w:b/>
                <w:bCs/>
                <w:kern w:val="0"/>
                <w:sz w:val="18"/>
                <w:szCs w:val="18"/>
              </w:rPr>
            </w:pPr>
            <w:r>
              <w:rPr>
                <w:rFonts w:hint="eastAsia" w:ascii="宋体" w:hAnsi="宋体" w:eastAsia="宋体" w:cs="宋体"/>
                <w:b/>
                <w:bCs/>
                <w:kern w:val="0"/>
                <w:sz w:val="18"/>
                <w:szCs w:val="18"/>
              </w:rPr>
              <w:t>第二教学楼</w:t>
            </w:r>
          </w:p>
        </w:tc>
        <w:tc>
          <w:tcPr>
            <w:tcW w:w="1040" w:type="dxa"/>
            <w:tcBorders>
              <w:top w:val="single" w:color="auto" w:sz="8" w:space="0"/>
              <w:left w:val="nil"/>
              <w:bottom w:val="single" w:color="auto" w:sz="8" w:space="0"/>
              <w:right w:val="single" w:color="auto" w:sz="4" w:space="0"/>
            </w:tcBorders>
            <w:shd w:val="clear" w:color="auto" w:fill="auto"/>
            <w:vAlign w:val="center"/>
          </w:tcPr>
          <w:p>
            <w:pPr>
              <w:widowControl/>
              <w:jc w:val="center"/>
              <w:rPr>
                <w:rFonts w:ascii="宋体" w:hAnsi="宋体" w:eastAsia="宋体" w:cs="宋体"/>
                <w:b/>
                <w:bCs/>
                <w:kern w:val="0"/>
                <w:sz w:val="18"/>
                <w:szCs w:val="18"/>
              </w:rPr>
            </w:pPr>
            <w:r>
              <w:rPr>
                <w:rFonts w:hint="eastAsia" w:ascii="宋体" w:hAnsi="宋体" w:eastAsia="宋体" w:cs="宋体"/>
                <w:b/>
                <w:bCs/>
                <w:kern w:val="0"/>
                <w:sz w:val="18"/>
                <w:szCs w:val="18"/>
              </w:rPr>
              <w:t>图书馆</w:t>
            </w:r>
          </w:p>
        </w:tc>
        <w:tc>
          <w:tcPr>
            <w:tcW w:w="1340" w:type="dxa"/>
            <w:tcBorders>
              <w:top w:val="single" w:color="auto" w:sz="8" w:space="0"/>
              <w:left w:val="nil"/>
              <w:bottom w:val="single" w:color="auto" w:sz="8" w:space="0"/>
              <w:right w:val="single" w:color="auto" w:sz="4" w:space="0"/>
            </w:tcBorders>
            <w:shd w:val="clear" w:color="auto" w:fill="auto"/>
            <w:vAlign w:val="center"/>
          </w:tcPr>
          <w:p>
            <w:pPr>
              <w:widowControl/>
              <w:jc w:val="center"/>
              <w:rPr>
                <w:rFonts w:ascii="宋体" w:hAnsi="宋体" w:eastAsia="宋体" w:cs="宋体"/>
                <w:b/>
                <w:bCs/>
                <w:kern w:val="0"/>
                <w:sz w:val="18"/>
                <w:szCs w:val="18"/>
              </w:rPr>
            </w:pPr>
            <w:r>
              <w:rPr>
                <w:rFonts w:hint="eastAsia" w:ascii="宋体" w:hAnsi="宋体" w:eastAsia="宋体" w:cs="宋体"/>
                <w:b/>
                <w:bCs/>
                <w:kern w:val="0"/>
                <w:sz w:val="18"/>
                <w:szCs w:val="18"/>
              </w:rPr>
              <w:t>第一办公楼</w:t>
            </w:r>
          </w:p>
        </w:tc>
        <w:tc>
          <w:tcPr>
            <w:tcW w:w="1160" w:type="dxa"/>
            <w:tcBorders>
              <w:top w:val="single" w:color="auto" w:sz="8" w:space="0"/>
              <w:left w:val="nil"/>
              <w:bottom w:val="single" w:color="auto" w:sz="8" w:space="0"/>
              <w:right w:val="single" w:color="auto" w:sz="4" w:space="0"/>
            </w:tcBorders>
            <w:shd w:val="clear" w:color="auto" w:fill="auto"/>
            <w:vAlign w:val="center"/>
          </w:tcPr>
          <w:p>
            <w:pPr>
              <w:widowControl/>
              <w:jc w:val="center"/>
              <w:rPr>
                <w:rFonts w:ascii="宋体" w:hAnsi="宋体" w:eastAsia="宋体" w:cs="宋体"/>
                <w:b/>
                <w:bCs/>
                <w:kern w:val="0"/>
                <w:sz w:val="18"/>
                <w:szCs w:val="18"/>
              </w:rPr>
            </w:pPr>
            <w:r>
              <w:rPr>
                <w:rFonts w:hint="eastAsia" w:ascii="宋体" w:hAnsi="宋体" w:eastAsia="宋体" w:cs="宋体"/>
                <w:b/>
                <w:bCs/>
                <w:kern w:val="0"/>
                <w:sz w:val="18"/>
                <w:szCs w:val="18"/>
              </w:rPr>
              <w:t>第二办公楼</w:t>
            </w:r>
          </w:p>
        </w:tc>
        <w:tc>
          <w:tcPr>
            <w:tcW w:w="1020" w:type="dxa"/>
            <w:tcBorders>
              <w:top w:val="single" w:color="auto" w:sz="8" w:space="0"/>
              <w:left w:val="nil"/>
              <w:bottom w:val="single" w:color="auto" w:sz="8" w:space="0"/>
              <w:right w:val="single" w:color="auto" w:sz="4" w:space="0"/>
            </w:tcBorders>
            <w:shd w:val="clear" w:color="auto" w:fill="auto"/>
            <w:vAlign w:val="center"/>
          </w:tcPr>
          <w:p>
            <w:pPr>
              <w:widowControl/>
              <w:jc w:val="center"/>
              <w:rPr>
                <w:rFonts w:ascii="宋体" w:hAnsi="宋体" w:eastAsia="宋体" w:cs="宋体"/>
                <w:b/>
                <w:bCs/>
                <w:kern w:val="0"/>
                <w:sz w:val="18"/>
                <w:szCs w:val="18"/>
              </w:rPr>
            </w:pPr>
            <w:r>
              <w:rPr>
                <w:rFonts w:hint="eastAsia" w:ascii="宋体" w:hAnsi="宋体" w:eastAsia="宋体" w:cs="宋体"/>
                <w:b/>
                <w:bCs/>
                <w:kern w:val="0"/>
                <w:sz w:val="18"/>
                <w:szCs w:val="18"/>
              </w:rPr>
              <w:t>乒羽中心</w:t>
            </w:r>
          </w:p>
        </w:tc>
        <w:tc>
          <w:tcPr>
            <w:tcW w:w="1280" w:type="dxa"/>
            <w:tcBorders>
              <w:top w:val="single" w:color="auto" w:sz="8" w:space="0"/>
              <w:left w:val="nil"/>
              <w:bottom w:val="single" w:color="auto" w:sz="8" w:space="0"/>
              <w:right w:val="single" w:color="auto" w:sz="8" w:space="0"/>
            </w:tcBorders>
            <w:shd w:val="clear" w:color="auto" w:fill="auto"/>
            <w:vAlign w:val="center"/>
          </w:tcPr>
          <w:p>
            <w:pPr>
              <w:widowControl/>
              <w:jc w:val="center"/>
              <w:rPr>
                <w:rFonts w:ascii="宋体" w:hAnsi="宋体" w:eastAsia="宋体" w:cs="宋体"/>
                <w:b/>
                <w:bCs/>
                <w:kern w:val="0"/>
                <w:sz w:val="18"/>
                <w:szCs w:val="18"/>
              </w:rPr>
            </w:pPr>
            <w:r>
              <w:rPr>
                <w:rFonts w:hint="eastAsia" w:ascii="宋体" w:hAnsi="宋体" w:eastAsia="宋体" w:cs="宋体"/>
                <w:b/>
                <w:bCs/>
                <w:kern w:val="0"/>
                <w:sz w:val="18"/>
                <w:szCs w:val="18"/>
              </w:rPr>
              <w:t>文化活动中心</w:t>
            </w:r>
          </w:p>
        </w:tc>
      </w:tr>
      <w:tr>
        <w:tblPrEx>
          <w:tblCellMar>
            <w:top w:w="0" w:type="dxa"/>
            <w:left w:w="108" w:type="dxa"/>
            <w:bottom w:w="0" w:type="dxa"/>
            <w:right w:w="108" w:type="dxa"/>
          </w:tblCellMar>
        </w:tblPrEx>
        <w:trPr>
          <w:trHeight w:val="1000" w:hRule="atLeast"/>
        </w:trPr>
        <w:tc>
          <w:tcPr>
            <w:tcW w:w="920" w:type="dxa"/>
            <w:tcBorders>
              <w:top w:val="nil"/>
              <w:left w:val="single" w:color="auto" w:sz="8" w:space="0"/>
              <w:bottom w:val="single" w:color="auto" w:sz="4" w:space="0"/>
              <w:right w:val="single" w:color="auto" w:sz="8" w:space="0"/>
            </w:tcBorders>
            <w:shd w:val="clear" w:color="auto" w:fill="auto"/>
            <w:vAlign w:val="center"/>
          </w:tcPr>
          <w:p>
            <w:pPr>
              <w:widowControl/>
              <w:jc w:val="center"/>
              <w:rPr>
                <w:rFonts w:ascii="宋体" w:hAnsi="宋体" w:eastAsia="宋体" w:cs="宋体"/>
                <w:b/>
                <w:bCs/>
                <w:kern w:val="0"/>
                <w:sz w:val="18"/>
                <w:szCs w:val="18"/>
              </w:rPr>
            </w:pPr>
            <w:r>
              <w:rPr>
                <w:rFonts w:hint="eastAsia" w:ascii="宋体" w:hAnsi="宋体" w:eastAsia="宋体" w:cs="宋体"/>
                <w:b/>
                <w:bCs/>
                <w:kern w:val="0"/>
                <w:sz w:val="18"/>
                <w:szCs w:val="18"/>
              </w:rPr>
              <w:t>改建1.8</w:t>
            </w:r>
            <w:r>
              <w:rPr>
                <w:rFonts w:hint="eastAsia" w:ascii="宋体" w:hAnsi="宋体" w:eastAsia="宋体" w:cs="宋体"/>
                <w:b/>
                <w:bCs/>
                <w:kern w:val="0"/>
                <w:sz w:val="18"/>
                <w:szCs w:val="18"/>
              </w:rPr>
              <w:br w:type="textWrapping"/>
            </w:r>
            <w:r>
              <w:rPr>
                <w:rFonts w:hint="eastAsia" w:ascii="宋体" w:hAnsi="宋体" w:eastAsia="宋体" w:cs="宋体"/>
                <w:b/>
                <w:bCs/>
                <w:kern w:val="0"/>
                <w:sz w:val="18"/>
                <w:szCs w:val="18"/>
              </w:rPr>
              <w:t>米卫生间</w:t>
            </w:r>
          </w:p>
        </w:tc>
        <w:tc>
          <w:tcPr>
            <w:tcW w:w="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厨房改洗漱间、加一个小便斗</w:t>
            </w:r>
          </w:p>
        </w:tc>
        <w:tc>
          <w:tcPr>
            <w:tcW w:w="15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厨房改洗漱间、加一个小便斗</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10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13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一层三层改建卫生间；二层四层修复卫生间10%</w:t>
            </w:r>
          </w:p>
        </w:tc>
        <w:tc>
          <w:tcPr>
            <w:tcW w:w="11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楼梯修复</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1280" w:type="dxa"/>
            <w:tcBorders>
              <w:top w:val="nil"/>
              <w:left w:val="nil"/>
              <w:bottom w:val="single" w:color="auto" w:sz="4" w:space="0"/>
              <w:right w:val="single" w:color="auto" w:sz="8"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改建卫生间</w:t>
            </w:r>
          </w:p>
        </w:tc>
      </w:tr>
      <w:tr>
        <w:tblPrEx>
          <w:tblCellMar>
            <w:top w:w="0" w:type="dxa"/>
            <w:left w:w="108" w:type="dxa"/>
            <w:bottom w:w="0" w:type="dxa"/>
            <w:right w:w="108" w:type="dxa"/>
          </w:tblCellMar>
        </w:tblPrEx>
        <w:trPr>
          <w:trHeight w:val="800" w:hRule="atLeast"/>
        </w:trPr>
        <w:tc>
          <w:tcPr>
            <w:tcW w:w="920" w:type="dxa"/>
            <w:tcBorders>
              <w:top w:val="nil"/>
              <w:left w:val="single" w:color="auto" w:sz="8" w:space="0"/>
              <w:bottom w:val="single" w:color="auto" w:sz="4" w:space="0"/>
              <w:right w:val="single" w:color="auto" w:sz="8" w:space="0"/>
            </w:tcBorders>
            <w:shd w:val="clear" w:color="auto" w:fill="auto"/>
            <w:vAlign w:val="center"/>
          </w:tcPr>
          <w:p>
            <w:pPr>
              <w:widowControl/>
              <w:jc w:val="center"/>
              <w:rPr>
                <w:rFonts w:ascii="宋体" w:hAnsi="宋体" w:eastAsia="宋体" w:cs="宋体"/>
                <w:b/>
                <w:bCs/>
                <w:kern w:val="0"/>
                <w:sz w:val="18"/>
                <w:szCs w:val="18"/>
              </w:rPr>
            </w:pPr>
            <w:r>
              <w:rPr>
                <w:rFonts w:hint="eastAsia" w:ascii="宋体" w:hAnsi="宋体" w:eastAsia="宋体" w:cs="宋体"/>
                <w:b/>
                <w:bCs/>
                <w:kern w:val="0"/>
                <w:sz w:val="18"/>
                <w:szCs w:val="18"/>
              </w:rPr>
              <w:t>入户门</w:t>
            </w:r>
          </w:p>
        </w:tc>
        <w:tc>
          <w:tcPr>
            <w:tcW w:w="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15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10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更换大门</w:t>
            </w:r>
          </w:p>
        </w:tc>
        <w:tc>
          <w:tcPr>
            <w:tcW w:w="13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11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1280" w:type="dxa"/>
            <w:tcBorders>
              <w:top w:val="nil"/>
              <w:left w:val="nil"/>
              <w:bottom w:val="single" w:color="auto" w:sz="4" w:space="0"/>
              <w:right w:val="single" w:color="auto" w:sz="8"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100%</w:t>
            </w:r>
          </w:p>
        </w:tc>
      </w:tr>
      <w:tr>
        <w:tblPrEx>
          <w:tblCellMar>
            <w:top w:w="0" w:type="dxa"/>
            <w:left w:w="108" w:type="dxa"/>
            <w:bottom w:w="0" w:type="dxa"/>
            <w:right w:w="108" w:type="dxa"/>
          </w:tblCellMar>
        </w:tblPrEx>
        <w:trPr>
          <w:trHeight w:val="800" w:hRule="atLeast"/>
        </w:trPr>
        <w:tc>
          <w:tcPr>
            <w:tcW w:w="920" w:type="dxa"/>
            <w:tcBorders>
              <w:top w:val="nil"/>
              <w:left w:val="single" w:color="auto" w:sz="8" w:space="0"/>
              <w:bottom w:val="single" w:color="auto" w:sz="4" w:space="0"/>
              <w:right w:val="single" w:color="auto" w:sz="8" w:space="0"/>
            </w:tcBorders>
            <w:shd w:val="clear" w:color="auto" w:fill="auto"/>
            <w:vAlign w:val="center"/>
          </w:tcPr>
          <w:p>
            <w:pPr>
              <w:widowControl/>
              <w:jc w:val="center"/>
              <w:rPr>
                <w:rFonts w:ascii="宋体" w:hAnsi="宋体" w:eastAsia="宋体" w:cs="宋体"/>
                <w:b/>
                <w:bCs/>
                <w:kern w:val="0"/>
                <w:sz w:val="18"/>
                <w:szCs w:val="18"/>
              </w:rPr>
            </w:pPr>
            <w:r>
              <w:rPr>
                <w:rFonts w:hint="eastAsia" w:ascii="宋体" w:hAnsi="宋体" w:eastAsia="宋体" w:cs="宋体"/>
                <w:b/>
                <w:bCs/>
                <w:kern w:val="0"/>
                <w:sz w:val="18"/>
                <w:szCs w:val="18"/>
              </w:rPr>
              <w:t>窗</w:t>
            </w:r>
          </w:p>
        </w:tc>
        <w:tc>
          <w:tcPr>
            <w:tcW w:w="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外窗换20%，内走廊木窗油漆</w:t>
            </w:r>
          </w:p>
        </w:tc>
        <w:tc>
          <w:tcPr>
            <w:tcW w:w="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木窗油漆，20%更换</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外窗修复20%</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外窗换20%</w:t>
            </w:r>
          </w:p>
        </w:tc>
        <w:tc>
          <w:tcPr>
            <w:tcW w:w="15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外窗换20%</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外窗换10%</w:t>
            </w:r>
          </w:p>
        </w:tc>
        <w:tc>
          <w:tcPr>
            <w:tcW w:w="10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更换局部一二层外窗</w:t>
            </w:r>
          </w:p>
        </w:tc>
        <w:tc>
          <w:tcPr>
            <w:tcW w:w="13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11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1280" w:type="dxa"/>
            <w:tcBorders>
              <w:top w:val="nil"/>
              <w:left w:val="nil"/>
              <w:bottom w:val="single" w:color="auto" w:sz="4" w:space="0"/>
              <w:right w:val="single" w:color="auto" w:sz="8"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100%</w:t>
            </w:r>
          </w:p>
        </w:tc>
      </w:tr>
      <w:tr>
        <w:tblPrEx>
          <w:tblCellMar>
            <w:top w:w="0" w:type="dxa"/>
            <w:left w:w="108" w:type="dxa"/>
            <w:bottom w:w="0" w:type="dxa"/>
            <w:right w:w="108" w:type="dxa"/>
          </w:tblCellMar>
        </w:tblPrEx>
        <w:trPr>
          <w:trHeight w:val="800" w:hRule="atLeast"/>
        </w:trPr>
        <w:tc>
          <w:tcPr>
            <w:tcW w:w="920" w:type="dxa"/>
            <w:tcBorders>
              <w:top w:val="nil"/>
              <w:left w:val="single" w:color="auto" w:sz="8" w:space="0"/>
              <w:bottom w:val="single" w:color="auto" w:sz="4" w:space="0"/>
              <w:right w:val="single" w:color="auto" w:sz="8" w:space="0"/>
            </w:tcBorders>
            <w:shd w:val="clear" w:color="auto" w:fill="auto"/>
            <w:vAlign w:val="center"/>
          </w:tcPr>
          <w:p>
            <w:pPr>
              <w:widowControl/>
              <w:jc w:val="center"/>
              <w:rPr>
                <w:rFonts w:ascii="宋体" w:hAnsi="宋体" w:eastAsia="宋体" w:cs="宋体"/>
                <w:b/>
                <w:bCs/>
                <w:kern w:val="0"/>
                <w:sz w:val="18"/>
                <w:szCs w:val="18"/>
              </w:rPr>
            </w:pPr>
            <w:r>
              <w:rPr>
                <w:rFonts w:hint="eastAsia" w:ascii="宋体" w:hAnsi="宋体" w:eastAsia="宋体" w:cs="宋体"/>
                <w:b/>
                <w:bCs/>
                <w:kern w:val="0"/>
                <w:sz w:val="18"/>
                <w:szCs w:val="18"/>
              </w:rPr>
              <w:t>水</w:t>
            </w:r>
          </w:p>
        </w:tc>
        <w:tc>
          <w:tcPr>
            <w:tcW w:w="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重做</w:t>
            </w:r>
          </w:p>
        </w:tc>
        <w:tc>
          <w:tcPr>
            <w:tcW w:w="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重做</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重做</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重做</w:t>
            </w:r>
          </w:p>
        </w:tc>
        <w:tc>
          <w:tcPr>
            <w:tcW w:w="15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重做</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重做</w:t>
            </w:r>
          </w:p>
        </w:tc>
        <w:tc>
          <w:tcPr>
            <w:tcW w:w="10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重做</w:t>
            </w:r>
          </w:p>
        </w:tc>
        <w:tc>
          <w:tcPr>
            <w:tcW w:w="13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只做新建卫生间的给排水</w:t>
            </w:r>
          </w:p>
        </w:tc>
        <w:tc>
          <w:tcPr>
            <w:tcW w:w="11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重做</w:t>
            </w:r>
          </w:p>
        </w:tc>
        <w:tc>
          <w:tcPr>
            <w:tcW w:w="1280" w:type="dxa"/>
            <w:tcBorders>
              <w:top w:val="nil"/>
              <w:left w:val="nil"/>
              <w:bottom w:val="single" w:color="auto" w:sz="4" w:space="0"/>
              <w:right w:val="single" w:color="auto" w:sz="8"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重做</w:t>
            </w:r>
          </w:p>
        </w:tc>
      </w:tr>
      <w:tr>
        <w:tblPrEx>
          <w:tblCellMar>
            <w:top w:w="0" w:type="dxa"/>
            <w:left w:w="108" w:type="dxa"/>
            <w:bottom w:w="0" w:type="dxa"/>
            <w:right w:w="108" w:type="dxa"/>
          </w:tblCellMar>
        </w:tblPrEx>
        <w:trPr>
          <w:trHeight w:val="800" w:hRule="atLeast"/>
        </w:trPr>
        <w:tc>
          <w:tcPr>
            <w:tcW w:w="920" w:type="dxa"/>
            <w:tcBorders>
              <w:top w:val="nil"/>
              <w:left w:val="single" w:color="auto" w:sz="8" w:space="0"/>
              <w:bottom w:val="single" w:color="auto" w:sz="4" w:space="0"/>
              <w:right w:val="single" w:color="auto" w:sz="8" w:space="0"/>
            </w:tcBorders>
            <w:shd w:val="clear" w:color="auto" w:fill="auto"/>
            <w:vAlign w:val="center"/>
          </w:tcPr>
          <w:p>
            <w:pPr>
              <w:widowControl/>
              <w:jc w:val="center"/>
              <w:rPr>
                <w:rFonts w:ascii="宋体" w:hAnsi="宋体" w:eastAsia="宋体" w:cs="宋体"/>
                <w:b/>
                <w:bCs/>
                <w:kern w:val="0"/>
                <w:sz w:val="18"/>
                <w:szCs w:val="18"/>
              </w:rPr>
            </w:pPr>
            <w:r>
              <w:rPr>
                <w:rFonts w:hint="eastAsia" w:ascii="宋体" w:hAnsi="宋体" w:eastAsia="宋体" w:cs="宋体"/>
                <w:b/>
                <w:bCs/>
                <w:kern w:val="0"/>
                <w:sz w:val="18"/>
                <w:szCs w:val="18"/>
              </w:rPr>
              <w:t>电</w:t>
            </w:r>
          </w:p>
        </w:tc>
        <w:tc>
          <w:tcPr>
            <w:tcW w:w="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重做</w:t>
            </w:r>
          </w:p>
        </w:tc>
        <w:tc>
          <w:tcPr>
            <w:tcW w:w="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重做</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重做</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重做</w:t>
            </w:r>
          </w:p>
        </w:tc>
        <w:tc>
          <w:tcPr>
            <w:tcW w:w="15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重做</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10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重做</w:t>
            </w:r>
          </w:p>
        </w:tc>
        <w:tc>
          <w:tcPr>
            <w:tcW w:w="13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11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重做</w:t>
            </w:r>
          </w:p>
        </w:tc>
        <w:tc>
          <w:tcPr>
            <w:tcW w:w="1280" w:type="dxa"/>
            <w:tcBorders>
              <w:top w:val="nil"/>
              <w:left w:val="nil"/>
              <w:bottom w:val="single" w:color="auto" w:sz="4" w:space="0"/>
              <w:right w:val="single" w:color="auto" w:sz="8"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重做</w:t>
            </w:r>
          </w:p>
        </w:tc>
      </w:tr>
      <w:tr>
        <w:tblPrEx>
          <w:tblCellMar>
            <w:top w:w="0" w:type="dxa"/>
            <w:left w:w="108" w:type="dxa"/>
            <w:bottom w:w="0" w:type="dxa"/>
            <w:right w:w="108" w:type="dxa"/>
          </w:tblCellMar>
        </w:tblPrEx>
        <w:trPr>
          <w:trHeight w:val="800" w:hRule="atLeast"/>
        </w:trPr>
        <w:tc>
          <w:tcPr>
            <w:tcW w:w="920" w:type="dxa"/>
            <w:tcBorders>
              <w:top w:val="nil"/>
              <w:left w:val="single" w:color="auto" w:sz="8" w:space="0"/>
              <w:bottom w:val="single" w:color="auto" w:sz="4" w:space="0"/>
              <w:right w:val="single" w:color="auto" w:sz="8" w:space="0"/>
            </w:tcBorders>
            <w:shd w:val="clear" w:color="auto" w:fill="auto"/>
            <w:vAlign w:val="center"/>
          </w:tcPr>
          <w:p>
            <w:pPr>
              <w:widowControl/>
              <w:jc w:val="center"/>
              <w:rPr>
                <w:rFonts w:ascii="宋体" w:hAnsi="宋体" w:eastAsia="宋体" w:cs="宋体"/>
                <w:b/>
                <w:bCs/>
                <w:kern w:val="0"/>
                <w:sz w:val="18"/>
                <w:szCs w:val="18"/>
              </w:rPr>
            </w:pPr>
            <w:r>
              <w:rPr>
                <w:rFonts w:hint="eastAsia" w:ascii="宋体" w:hAnsi="宋体" w:eastAsia="宋体" w:cs="宋体"/>
                <w:b/>
                <w:bCs/>
                <w:kern w:val="0"/>
                <w:sz w:val="18"/>
                <w:szCs w:val="18"/>
              </w:rPr>
              <w:t>内墙及</w:t>
            </w:r>
            <w:r>
              <w:rPr>
                <w:rFonts w:hint="eastAsia" w:ascii="宋体" w:hAnsi="宋体" w:eastAsia="宋体" w:cs="宋体"/>
                <w:b/>
                <w:bCs/>
                <w:kern w:val="0"/>
                <w:sz w:val="18"/>
                <w:szCs w:val="18"/>
              </w:rPr>
              <w:br w:type="textWrapping"/>
            </w:r>
            <w:r>
              <w:rPr>
                <w:rFonts w:hint="eastAsia" w:ascii="宋体" w:hAnsi="宋体" w:eastAsia="宋体" w:cs="宋体"/>
                <w:b/>
                <w:bCs/>
                <w:kern w:val="0"/>
                <w:sz w:val="18"/>
                <w:szCs w:val="18"/>
              </w:rPr>
              <w:t>顶棚</w:t>
            </w:r>
          </w:p>
        </w:tc>
        <w:tc>
          <w:tcPr>
            <w:tcW w:w="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100%墙漆</w:t>
            </w:r>
          </w:p>
        </w:tc>
        <w:tc>
          <w:tcPr>
            <w:tcW w:w="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100%墙漆</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100%墙漆</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100%墙漆</w:t>
            </w:r>
          </w:p>
        </w:tc>
        <w:tc>
          <w:tcPr>
            <w:tcW w:w="15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100%墙漆</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30%墙漆</w:t>
            </w:r>
          </w:p>
        </w:tc>
        <w:tc>
          <w:tcPr>
            <w:tcW w:w="10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30%墙漆</w:t>
            </w:r>
          </w:p>
        </w:tc>
        <w:tc>
          <w:tcPr>
            <w:tcW w:w="13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11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10%墙漆</w:t>
            </w:r>
          </w:p>
        </w:tc>
        <w:tc>
          <w:tcPr>
            <w:tcW w:w="1280" w:type="dxa"/>
            <w:tcBorders>
              <w:top w:val="nil"/>
              <w:left w:val="nil"/>
              <w:bottom w:val="single" w:color="auto" w:sz="4" w:space="0"/>
              <w:right w:val="single" w:color="auto" w:sz="8"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100%墙漆</w:t>
            </w:r>
          </w:p>
        </w:tc>
      </w:tr>
      <w:tr>
        <w:tblPrEx>
          <w:tblCellMar>
            <w:top w:w="0" w:type="dxa"/>
            <w:left w:w="108" w:type="dxa"/>
            <w:bottom w:w="0" w:type="dxa"/>
            <w:right w:w="108" w:type="dxa"/>
          </w:tblCellMar>
        </w:tblPrEx>
        <w:trPr>
          <w:trHeight w:val="800" w:hRule="atLeast"/>
        </w:trPr>
        <w:tc>
          <w:tcPr>
            <w:tcW w:w="920" w:type="dxa"/>
            <w:tcBorders>
              <w:top w:val="nil"/>
              <w:left w:val="single" w:color="auto" w:sz="8" w:space="0"/>
              <w:bottom w:val="single" w:color="auto" w:sz="4" w:space="0"/>
              <w:right w:val="single" w:color="auto" w:sz="8" w:space="0"/>
            </w:tcBorders>
            <w:shd w:val="clear" w:color="auto" w:fill="auto"/>
            <w:vAlign w:val="center"/>
          </w:tcPr>
          <w:p>
            <w:pPr>
              <w:widowControl/>
              <w:jc w:val="center"/>
              <w:rPr>
                <w:rFonts w:ascii="宋体" w:hAnsi="宋体" w:eastAsia="宋体" w:cs="宋体"/>
                <w:b/>
                <w:bCs/>
                <w:kern w:val="0"/>
                <w:sz w:val="18"/>
                <w:szCs w:val="18"/>
              </w:rPr>
            </w:pPr>
            <w:r>
              <w:rPr>
                <w:rFonts w:hint="eastAsia" w:ascii="宋体" w:hAnsi="宋体" w:eastAsia="宋体" w:cs="宋体"/>
                <w:b/>
                <w:bCs/>
                <w:kern w:val="0"/>
                <w:sz w:val="18"/>
                <w:szCs w:val="18"/>
              </w:rPr>
              <w:t>地面</w:t>
            </w:r>
          </w:p>
        </w:tc>
        <w:tc>
          <w:tcPr>
            <w:tcW w:w="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现状修复</w:t>
            </w:r>
          </w:p>
        </w:tc>
        <w:tc>
          <w:tcPr>
            <w:tcW w:w="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现状修复</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修复现状</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10%面砖</w:t>
            </w:r>
          </w:p>
        </w:tc>
        <w:tc>
          <w:tcPr>
            <w:tcW w:w="15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10%面砖</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10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10%水磨石</w:t>
            </w:r>
          </w:p>
        </w:tc>
        <w:tc>
          <w:tcPr>
            <w:tcW w:w="13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11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乒乓球室换面砖</w:t>
            </w:r>
          </w:p>
        </w:tc>
        <w:tc>
          <w:tcPr>
            <w:tcW w:w="1280" w:type="dxa"/>
            <w:tcBorders>
              <w:top w:val="nil"/>
              <w:left w:val="nil"/>
              <w:bottom w:val="single" w:color="auto" w:sz="4" w:space="0"/>
              <w:right w:val="single" w:color="auto" w:sz="8"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100%木地板</w:t>
            </w:r>
          </w:p>
        </w:tc>
      </w:tr>
      <w:tr>
        <w:tblPrEx>
          <w:tblCellMar>
            <w:top w:w="0" w:type="dxa"/>
            <w:left w:w="108" w:type="dxa"/>
            <w:bottom w:w="0" w:type="dxa"/>
            <w:right w:w="108" w:type="dxa"/>
          </w:tblCellMar>
        </w:tblPrEx>
        <w:trPr>
          <w:trHeight w:val="800" w:hRule="atLeast"/>
        </w:trPr>
        <w:tc>
          <w:tcPr>
            <w:tcW w:w="920" w:type="dxa"/>
            <w:tcBorders>
              <w:top w:val="nil"/>
              <w:left w:val="single" w:color="auto" w:sz="8" w:space="0"/>
              <w:bottom w:val="single" w:color="auto" w:sz="4" w:space="0"/>
              <w:right w:val="single" w:color="auto" w:sz="8" w:space="0"/>
            </w:tcBorders>
            <w:shd w:val="clear" w:color="auto" w:fill="auto"/>
            <w:vAlign w:val="center"/>
          </w:tcPr>
          <w:p>
            <w:pPr>
              <w:widowControl/>
              <w:jc w:val="center"/>
              <w:rPr>
                <w:rFonts w:ascii="宋体" w:hAnsi="宋体" w:eastAsia="宋体" w:cs="宋体"/>
                <w:b/>
                <w:bCs/>
                <w:kern w:val="0"/>
                <w:sz w:val="18"/>
                <w:szCs w:val="18"/>
              </w:rPr>
            </w:pPr>
            <w:r>
              <w:rPr>
                <w:rFonts w:hint="eastAsia" w:ascii="宋体" w:hAnsi="宋体" w:eastAsia="宋体" w:cs="宋体"/>
                <w:b/>
                <w:bCs/>
                <w:kern w:val="0"/>
                <w:sz w:val="18"/>
                <w:szCs w:val="18"/>
              </w:rPr>
              <w:t>墙裙</w:t>
            </w:r>
          </w:p>
        </w:tc>
        <w:tc>
          <w:tcPr>
            <w:tcW w:w="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100%墙漆</w:t>
            </w:r>
          </w:p>
        </w:tc>
        <w:tc>
          <w:tcPr>
            <w:tcW w:w="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100%墙漆</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15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10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13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11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1280" w:type="dxa"/>
            <w:tcBorders>
              <w:top w:val="nil"/>
              <w:left w:val="nil"/>
              <w:bottom w:val="single" w:color="auto" w:sz="4" w:space="0"/>
              <w:right w:val="single" w:color="auto" w:sz="8"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800" w:hRule="atLeast"/>
        </w:trPr>
        <w:tc>
          <w:tcPr>
            <w:tcW w:w="920" w:type="dxa"/>
            <w:tcBorders>
              <w:top w:val="nil"/>
              <w:left w:val="single" w:color="auto" w:sz="8" w:space="0"/>
              <w:bottom w:val="single" w:color="auto" w:sz="4" w:space="0"/>
              <w:right w:val="single" w:color="auto" w:sz="8" w:space="0"/>
            </w:tcBorders>
            <w:shd w:val="clear" w:color="auto" w:fill="auto"/>
            <w:vAlign w:val="center"/>
          </w:tcPr>
          <w:p>
            <w:pPr>
              <w:widowControl/>
              <w:jc w:val="center"/>
              <w:rPr>
                <w:rFonts w:ascii="宋体" w:hAnsi="宋体" w:eastAsia="宋体" w:cs="宋体"/>
                <w:b/>
                <w:bCs/>
                <w:kern w:val="0"/>
                <w:sz w:val="18"/>
                <w:szCs w:val="18"/>
              </w:rPr>
            </w:pPr>
            <w:r>
              <w:rPr>
                <w:rFonts w:hint="eastAsia" w:ascii="宋体" w:hAnsi="宋体" w:eastAsia="宋体" w:cs="宋体"/>
                <w:b/>
                <w:bCs/>
                <w:kern w:val="0"/>
                <w:sz w:val="18"/>
                <w:szCs w:val="18"/>
              </w:rPr>
              <w:t>隐形</w:t>
            </w:r>
            <w:r>
              <w:rPr>
                <w:rFonts w:hint="eastAsia" w:ascii="宋体" w:hAnsi="宋体" w:eastAsia="宋体" w:cs="宋体"/>
                <w:b/>
                <w:bCs/>
                <w:kern w:val="0"/>
                <w:sz w:val="18"/>
                <w:szCs w:val="18"/>
              </w:rPr>
              <w:br w:type="textWrapping"/>
            </w:r>
            <w:r>
              <w:rPr>
                <w:rFonts w:hint="eastAsia" w:ascii="宋体" w:hAnsi="宋体" w:eastAsia="宋体" w:cs="宋体"/>
                <w:b/>
                <w:bCs/>
                <w:kern w:val="0"/>
                <w:sz w:val="18"/>
                <w:szCs w:val="18"/>
              </w:rPr>
              <w:t>钢丝网</w:t>
            </w:r>
          </w:p>
        </w:tc>
        <w:tc>
          <w:tcPr>
            <w:tcW w:w="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一楼</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西面一楼</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15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10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13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11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1280" w:type="dxa"/>
            <w:tcBorders>
              <w:top w:val="nil"/>
              <w:left w:val="nil"/>
              <w:bottom w:val="single" w:color="auto" w:sz="4" w:space="0"/>
              <w:right w:val="single" w:color="auto" w:sz="8"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800" w:hRule="atLeast"/>
        </w:trPr>
        <w:tc>
          <w:tcPr>
            <w:tcW w:w="92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eastAsia="宋体" w:cs="宋体"/>
                <w:b/>
                <w:bCs/>
                <w:kern w:val="0"/>
                <w:sz w:val="18"/>
                <w:szCs w:val="18"/>
              </w:rPr>
            </w:pPr>
            <w:r>
              <w:rPr>
                <w:rFonts w:hint="eastAsia" w:ascii="宋体" w:hAnsi="宋体" w:eastAsia="宋体" w:cs="宋体"/>
                <w:b/>
                <w:bCs/>
                <w:kern w:val="0"/>
                <w:sz w:val="18"/>
                <w:szCs w:val="18"/>
              </w:rPr>
              <w:t>屋面防水</w:t>
            </w:r>
          </w:p>
        </w:tc>
        <w:tc>
          <w:tcPr>
            <w:tcW w:w="980" w:type="dxa"/>
            <w:tcBorders>
              <w:top w:val="nil"/>
              <w:left w:val="nil"/>
              <w:bottom w:val="single" w:color="auto" w:sz="8"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980" w:type="dxa"/>
            <w:tcBorders>
              <w:top w:val="nil"/>
              <w:left w:val="nil"/>
              <w:bottom w:val="single" w:color="auto" w:sz="8"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1120" w:type="dxa"/>
            <w:tcBorders>
              <w:top w:val="nil"/>
              <w:left w:val="nil"/>
              <w:bottom w:val="single" w:color="auto" w:sz="8"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1360" w:type="dxa"/>
            <w:tcBorders>
              <w:top w:val="nil"/>
              <w:left w:val="nil"/>
              <w:bottom w:val="single" w:color="auto" w:sz="8"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1580" w:type="dxa"/>
            <w:tcBorders>
              <w:top w:val="nil"/>
              <w:left w:val="nil"/>
              <w:bottom w:val="single" w:color="auto" w:sz="8"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1080" w:type="dxa"/>
            <w:tcBorders>
              <w:top w:val="nil"/>
              <w:left w:val="nil"/>
              <w:bottom w:val="single" w:color="auto" w:sz="8"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1040" w:type="dxa"/>
            <w:tcBorders>
              <w:top w:val="nil"/>
              <w:left w:val="nil"/>
              <w:bottom w:val="single" w:color="auto" w:sz="8"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1340" w:type="dxa"/>
            <w:tcBorders>
              <w:top w:val="nil"/>
              <w:left w:val="nil"/>
              <w:bottom w:val="single" w:color="auto" w:sz="8"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1160" w:type="dxa"/>
            <w:tcBorders>
              <w:top w:val="nil"/>
              <w:left w:val="nil"/>
              <w:bottom w:val="single" w:color="auto" w:sz="8"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1020" w:type="dxa"/>
            <w:tcBorders>
              <w:top w:val="nil"/>
              <w:left w:val="nil"/>
              <w:bottom w:val="single" w:color="auto" w:sz="8"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128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560" w:hRule="atLeast"/>
        </w:trPr>
        <w:tc>
          <w:tcPr>
            <w:tcW w:w="13860" w:type="dxa"/>
            <w:gridSpan w:val="12"/>
            <w:tcBorders>
              <w:top w:val="nil"/>
              <w:left w:val="nil"/>
              <w:bottom w:val="nil"/>
              <w:right w:val="nil"/>
            </w:tcBorders>
            <w:shd w:val="clear" w:color="auto" w:fill="auto"/>
            <w:vAlign w:val="center"/>
          </w:tcPr>
          <w:p>
            <w:pPr>
              <w:widowControl/>
              <w:jc w:val="left"/>
              <w:rPr>
                <w:rFonts w:ascii="宋体" w:hAnsi="宋体" w:eastAsia="宋体" w:cs="宋体"/>
                <w:b/>
                <w:bCs/>
                <w:kern w:val="0"/>
                <w:sz w:val="18"/>
                <w:szCs w:val="18"/>
              </w:rPr>
            </w:pPr>
          </w:p>
          <w:p>
            <w:pPr>
              <w:widowControl/>
              <w:ind w:firstLine="360"/>
              <w:jc w:val="left"/>
              <w:rPr>
                <w:rFonts w:ascii="宋体" w:hAnsi="宋体" w:eastAsia="宋体" w:cs="宋体"/>
                <w:b/>
                <w:bCs/>
                <w:kern w:val="0"/>
                <w:sz w:val="18"/>
                <w:szCs w:val="18"/>
              </w:rPr>
            </w:pPr>
            <w:r>
              <w:rPr>
                <w:rFonts w:hint="eastAsia" w:ascii="宋体" w:hAnsi="宋体" w:eastAsia="宋体" w:cs="宋体"/>
                <w:b/>
                <w:bCs/>
                <w:kern w:val="0"/>
                <w:sz w:val="18"/>
                <w:szCs w:val="18"/>
              </w:rPr>
              <w:t>说明：上述房屋维修改造标准依据2020年12月18日党委会上会材料确定，并于12月30日与各使用部门充分沟通，要求造价咨询公司编制招标工程量清单时参照执行。</w:t>
            </w:r>
          </w:p>
          <w:p>
            <w:pPr>
              <w:widowControl/>
              <w:ind w:firstLine="360"/>
              <w:jc w:val="left"/>
              <w:rPr>
                <w:rFonts w:ascii="宋体" w:hAnsi="宋体" w:eastAsia="宋体" w:cs="宋体"/>
                <w:b/>
                <w:bCs/>
                <w:kern w:val="0"/>
                <w:sz w:val="18"/>
                <w:szCs w:val="18"/>
              </w:rPr>
            </w:pPr>
          </w:p>
          <w:p>
            <w:pPr>
              <w:widowControl/>
              <w:ind w:firstLine="360"/>
              <w:jc w:val="left"/>
              <w:rPr>
                <w:rFonts w:ascii="宋体" w:hAnsi="宋体" w:eastAsia="宋体" w:cs="宋体"/>
                <w:b/>
                <w:bCs/>
                <w:kern w:val="0"/>
                <w:sz w:val="18"/>
                <w:szCs w:val="18"/>
              </w:rPr>
            </w:pPr>
          </w:p>
          <w:p>
            <w:pPr>
              <w:widowControl/>
              <w:ind w:firstLine="360"/>
              <w:jc w:val="left"/>
              <w:rPr>
                <w:rFonts w:ascii="宋体" w:hAnsi="宋体" w:eastAsia="宋体" w:cs="宋体"/>
                <w:b/>
                <w:bCs/>
                <w:kern w:val="0"/>
                <w:sz w:val="18"/>
                <w:szCs w:val="18"/>
              </w:rPr>
            </w:pPr>
          </w:p>
          <w:p>
            <w:pPr>
              <w:widowControl/>
              <w:ind w:firstLine="360"/>
              <w:jc w:val="left"/>
              <w:rPr>
                <w:rFonts w:ascii="宋体" w:hAnsi="宋体" w:eastAsia="宋体" w:cs="宋体"/>
                <w:b/>
                <w:bCs/>
                <w:kern w:val="0"/>
                <w:sz w:val="18"/>
                <w:szCs w:val="18"/>
              </w:rPr>
            </w:pPr>
          </w:p>
        </w:tc>
      </w:tr>
    </w:tbl>
    <w:p>
      <w:pPr>
        <w:spacing w:line="360" w:lineRule="auto"/>
        <w:rPr>
          <w:rFonts w:cs="仿宋" w:asciiTheme="minorEastAsia" w:hAnsiTheme="minorEastAsia"/>
          <w:bCs/>
          <w:sz w:val="28"/>
          <w:szCs w:val="28"/>
        </w:rPr>
      </w:pPr>
    </w:p>
    <w:p>
      <w:pPr>
        <w:spacing w:line="360" w:lineRule="auto"/>
        <w:rPr>
          <w:rFonts w:cs="仿宋" w:asciiTheme="minorEastAsia" w:hAnsiTheme="minorEastAsia"/>
          <w:bCs/>
          <w:sz w:val="28"/>
          <w:szCs w:val="28"/>
        </w:rPr>
        <w:sectPr>
          <w:pgSz w:w="16838" w:h="11906" w:orient="landscape"/>
          <w:pgMar w:top="1800" w:right="1440" w:bottom="1800" w:left="1440" w:header="851" w:footer="992" w:gutter="0"/>
          <w:cols w:space="425" w:num="1"/>
          <w:docGrid w:type="lines" w:linePitch="312" w:charSpace="0"/>
        </w:sectPr>
      </w:pPr>
    </w:p>
    <w:p>
      <w:pPr>
        <w:spacing w:line="360" w:lineRule="auto"/>
        <w:rPr>
          <w:rFonts w:asciiTheme="minorEastAsia" w:hAnsiTheme="minorEastAsia"/>
          <w:b/>
          <w:sz w:val="28"/>
          <w:szCs w:val="28"/>
        </w:rPr>
      </w:pPr>
      <w:r>
        <w:rPr>
          <w:rFonts w:hint="eastAsia" w:asciiTheme="minorEastAsia" w:hAnsiTheme="minorEastAsia"/>
          <w:b/>
          <w:sz w:val="28"/>
          <w:szCs w:val="28"/>
        </w:rPr>
        <w:t>附件三</w:t>
      </w:r>
    </w:p>
    <w:p>
      <w:pPr>
        <w:spacing w:line="360" w:lineRule="auto"/>
        <w:ind w:left="1968" w:hanging="1968" w:hangingChars="700"/>
        <w:jc w:val="center"/>
        <w:rPr>
          <w:rFonts w:cs="华文中宋" w:asciiTheme="minorEastAsia" w:hAnsiTheme="minorEastAsia"/>
          <w:b/>
          <w:color w:val="000000"/>
          <w:sz w:val="28"/>
          <w:szCs w:val="28"/>
        </w:rPr>
      </w:pPr>
      <w:r>
        <w:rPr>
          <w:rFonts w:hint="eastAsia" w:cs="华文中宋" w:asciiTheme="minorEastAsia" w:hAnsiTheme="minorEastAsia"/>
          <w:b/>
          <w:color w:val="000000"/>
          <w:sz w:val="28"/>
          <w:szCs w:val="28"/>
        </w:rPr>
        <w:t>《湖南财政经济学院雷锋校区热水、直饮水、洗衣机、</w:t>
      </w:r>
    </w:p>
    <w:p>
      <w:pPr>
        <w:spacing w:line="360" w:lineRule="auto"/>
        <w:ind w:left="1968" w:hanging="1968" w:hangingChars="700"/>
        <w:jc w:val="center"/>
        <w:rPr>
          <w:rFonts w:cs="华文中宋" w:asciiTheme="minorEastAsia" w:hAnsiTheme="minorEastAsia"/>
          <w:b/>
          <w:color w:val="000000"/>
          <w:sz w:val="28"/>
          <w:szCs w:val="28"/>
        </w:rPr>
      </w:pPr>
      <w:r>
        <w:rPr>
          <w:rFonts w:hint="eastAsia" w:cs="华文中宋" w:asciiTheme="minorEastAsia" w:hAnsiTheme="minorEastAsia"/>
          <w:b/>
          <w:color w:val="000000"/>
          <w:sz w:val="28"/>
          <w:szCs w:val="28"/>
        </w:rPr>
        <w:t>空调及智慧校园建设BOT项目》招标文件摘录</w:t>
      </w:r>
    </w:p>
    <w:p>
      <w:pPr>
        <w:spacing w:line="360" w:lineRule="auto"/>
        <w:rPr>
          <w:rFonts w:cs="宋体" w:asciiTheme="minorEastAsia" w:hAnsiTheme="minorEastAsia"/>
          <w:b/>
          <w:bCs/>
          <w:color w:val="000000"/>
          <w:szCs w:val="21"/>
        </w:rPr>
      </w:pPr>
    </w:p>
    <w:p>
      <w:pPr>
        <w:spacing w:line="360" w:lineRule="auto"/>
        <w:rPr>
          <w:rFonts w:cs="宋体" w:asciiTheme="minorEastAsia" w:hAnsiTheme="minorEastAsia"/>
          <w:b/>
          <w:bCs/>
          <w:color w:val="000000"/>
          <w:szCs w:val="21"/>
        </w:rPr>
      </w:pPr>
      <w:r>
        <w:rPr>
          <w:rFonts w:hint="eastAsia" w:cs="宋体" w:asciiTheme="minorEastAsia" w:hAnsiTheme="minorEastAsia"/>
          <w:b/>
          <w:bCs/>
          <w:color w:val="000000"/>
          <w:szCs w:val="21"/>
        </w:rPr>
        <w:t>包1：湖南财政经济学院雷锋校区热水、直饮水、洗衣机、空调项目</w:t>
      </w:r>
    </w:p>
    <w:p>
      <w:pPr>
        <w:spacing w:line="360" w:lineRule="auto"/>
        <w:ind w:firstLine="422" w:firstLineChars="200"/>
        <w:rPr>
          <w:rFonts w:cs="宋体" w:asciiTheme="minorEastAsia" w:hAnsiTheme="minorEastAsia"/>
          <w:b/>
          <w:color w:val="000000"/>
          <w:szCs w:val="21"/>
        </w:rPr>
      </w:pPr>
      <w:r>
        <w:rPr>
          <w:rFonts w:hint="eastAsia" w:cs="宋体" w:asciiTheme="minorEastAsia" w:hAnsiTheme="minorEastAsia"/>
          <w:b/>
          <w:color w:val="000000"/>
          <w:szCs w:val="21"/>
        </w:rPr>
        <w:t>一、项目概况</w:t>
      </w:r>
    </w:p>
    <w:p>
      <w:pPr>
        <w:spacing w:line="360" w:lineRule="auto"/>
        <w:ind w:firstLine="422" w:firstLineChars="200"/>
        <w:rPr>
          <w:rFonts w:cs="宋体" w:asciiTheme="minorEastAsia" w:hAnsiTheme="minorEastAsia"/>
          <w:b/>
          <w:szCs w:val="21"/>
        </w:rPr>
      </w:pPr>
      <w:r>
        <w:rPr>
          <w:rFonts w:hint="eastAsia" w:cs="宋体" w:asciiTheme="minorEastAsia" w:hAnsiTheme="minorEastAsia"/>
          <w:b/>
          <w:szCs w:val="21"/>
        </w:rPr>
        <w:t>（一）项目简介</w:t>
      </w:r>
    </w:p>
    <w:p>
      <w:pPr>
        <w:spacing w:line="360" w:lineRule="auto"/>
        <w:ind w:firstLine="420" w:firstLineChars="200"/>
        <w:rPr>
          <w:rFonts w:cs="宋体" w:asciiTheme="minorEastAsia" w:hAnsiTheme="minorEastAsia"/>
          <w:bCs/>
          <w:szCs w:val="21"/>
        </w:rPr>
      </w:pPr>
      <w:r>
        <w:rPr>
          <w:rFonts w:hint="eastAsia" w:cs="宋体" w:asciiTheme="minorEastAsia" w:hAnsiTheme="minorEastAsia"/>
          <w:bCs/>
          <w:szCs w:val="21"/>
        </w:rPr>
        <w:t>湖南财政经济学院为改善雷锋校区学生住宿、生活保障等条件，现已启动雷锋校区新工（文）科产教融合基地第一期建设，决定新建3栋学生公寓、1栋实训楼及对现有建筑物进行维修改造，将整个校区内学生宿舍所需空调、洗衣机、直饮水、热水、快递服务纳入BOT项目。本项目所涉及的学生宿舍总共约1048间，实训楼共6层，雷锋校区在校学生预计5000人。</w:t>
      </w:r>
    </w:p>
    <w:p>
      <w:pPr>
        <w:spacing w:line="360" w:lineRule="auto"/>
        <w:ind w:firstLine="422" w:firstLineChars="200"/>
        <w:rPr>
          <w:rFonts w:cs="宋体" w:asciiTheme="minorEastAsia" w:hAnsiTheme="minorEastAsia"/>
          <w:bCs/>
          <w:szCs w:val="21"/>
        </w:rPr>
      </w:pPr>
      <w:r>
        <w:rPr>
          <w:rFonts w:hint="eastAsia" w:cs="宋体" w:asciiTheme="minorEastAsia" w:hAnsiTheme="minorEastAsia"/>
          <w:b/>
          <w:szCs w:val="21"/>
        </w:rPr>
        <w:t>（二）项目内容及要</w:t>
      </w:r>
    </w:p>
    <w:p>
      <w:pPr>
        <w:spacing w:line="360" w:lineRule="auto"/>
        <w:ind w:firstLine="420" w:firstLineChars="200"/>
        <w:rPr>
          <w:rFonts w:cs="宋体" w:asciiTheme="minorEastAsia" w:hAnsiTheme="minorEastAsia"/>
          <w:bCs/>
          <w:szCs w:val="21"/>
        </w:rPr>
      </w:pPr>
      <w:r>
        <w:rPr>
          <w:rFonts w:hint="eastAsia" w:cs="宋体" w:asciiTheme="minorEastAsia" w:hAnsiTheme="minorEastAsia"/>
          <w:bCs/>
          <w:szCs w:val="21"/>
        </w:rPr>
        <w:t>湖南财政经济学院雷锋校区热水、直饮水、洗衣机、空调项目，包含以下内容：热水、洗衣机、空调入到学生宿舍内；直饮水在学生宿舍楼道内、学校实训楼、图书馆、教学楼等场地根据需求安装直饮水平台；学生宿舍内电源布线、照明及插座安装；保障校区环境，统一自助快递服务等。</w:t>
      </w:r>
    </w:p>
    <w:p>
      <w:pPr>
        <w:spacing w:line="360" w:lineRule="auto"/>
        <w:ind w:firstLine="422" w:firstLineChars="200"/>
        <w:rPr>
          <w:rFonts w:cs="宋体" w:asciiTheme="minorEastAsia" w:hAnsiTheme="minorEastAsia"/>
          <w:b/>
          <w:bCs/>
          <w:szCs w:val="21"/>
        </w:rPr>
      </w:pPr>
      <w:r>
        <w:rPr>
          <w:rFonts w:hint="eastAsia" w:cs="宋体" w:asciiTheme="minorEastAsia" w:hAnsiTheme="minorEastAsia"/>
          <w:b/>
          <w:bCs/>
          <w:szCs w:val="21"/>
        </w:rPr>
        <w:t>二、</w:t>
      </w:r>
      <w:r>
        <w:rPr>
          <w:rFonts w:hint="eastAsia" w:asciiTheme="minorEastAsia" w:hAnsiTheme="minorEastAsia"/>
          <w:b/>
          <w:szCs w:val="21"/>
        </w:rPr>
        <w:t>项目模式</w:t>
      </w:r>
    </w:p>
    <w:p>
      <w:pPr>
        <w:spacing w:line="360" w:lineRule="auto"/>
        <w:ind w:firstLine="420" w:firstLineChars="200"/>
        <w:rPr>
          <w:rFonts w:cs="宋体" w:asciiTheme="minorEastAsia" w:hAnsiTheme="minorEastAsia"/>
          <w:bCs/>
          <w:szCs w:val="21"/>
        </w:rPr>
      </w:pPr>
      <w:r>
        <w:rPr>
          <w:rFonts w:hint="eastAsia" w:cs="宋体" w:asciiTheme="minorEastAsia" w:hAnsiTheme="minorEastAsia"/>
          <w:bCs/>
          <w:szCs w:val="21"/>
        </w:rPr>
        <w:t>本项目拟采用建设—运营—移交（BOT）的特许经营方式，由投标方在特许经营期限内负责该项目的投标、设计、建设、运营、维护。运营所需设施设备由投标人出资建设，在学校特许经营期收回成本及收益，投标人自主经营、自负盈亏。</w:t>
      </w:r>
    </w:p>
    <w:p>
      <w:pPr>
        <w:pStyle w:val="5"/>
        <w:topLinePunct/>
        <w:autoSpaceDE w:val="0"/>
        <w:autoSpaceDN w:val="0"/>
        <w:adjustRightInd w:val="0"/>
        <w:snapToGrid w:val="0"/>
        <w:spacing w:line="360" w:lineRule="auto"/>
        <w:ind w:firstLine="422" w:firstLineChars="200"/>
        <w:textAlignment w:val="baseline"/>
        <w:rPr>
          <w:rFonts w:cs="仿宋" w:asciiTheme="minorEastAsia" w:hAnsiTheme="minorEastAsia" w:eastAsiaTheme="minorEastAsia"/>
          <w:b/>
          <w:snapToGrid w:val="0"/>
          <w:sz w:val="21"/>
          <w:szCs w:val="21"/>
        </w:rPr>
      </w:pPr>
      <w:r>
        <w:rPr>
          <w:rFonts w:hint="eastAsia" w:cs="仿宋" w:asciiTheme="minorEastAsia" w:hAnsiTheme="minorEastAsia" w:eastAsiaTheme="minorEastAsia"/>
          <w:b/>
          <w:snapToGrid w:val="0"/>
          <w:sz w:val="21"/>
          <w:szCs w:val="21"/>
        </w:rPr>
        <w:t>三、主要设备质量要求</w:t>
      </w:r>
    </w:p>
    <w:tbl>
      <w:tblPr>
        <w:tblStyle w:val="11"/>
        <w:tblW w:w="9138"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1287"/>
        <w:gridCol w:w="4390"/>
        <w:gridCol w:w="698"/>
        <w:gridCol w:w="750"/>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pPr>
              <w:pStyle w:val="5"/>
              <w:topLinePunct/>
              <w:autoSpaceDE w:val="0"/>
              <w:autoSpaceDN w:val="0"/>
              <w:adjustRightInd w:val="0"/>
              <w:snapToGrid w:val="0"/>
              <w:spacing w:line="360" w:lineRule="auto"/>
              <w:jc w:val="center"/>
              <w:textAlignment w:val="baseline"/>
              <w:rPr>
                <w:rFonts w:cs="仿宋" w:asciiTheme="minorEastAsia" w:hAnsiTheme="minorEastAsia" w:eastAsiaTheme="minorEastAsia"/>
                <w:bCs/>
                <w:snapToGrid w:val="0"/>
                <w:sz w:val="18"/>
                <w:szCs w:val="18"/>
              </w:rPr>
            </w:pPr>
            <w:r>
              <w:rPr>
                <w:rFonts w:hint="eastAsia" w:cs="仿宋" w:asciiTheme="minorEastAsia" w:hAnsiTheme="minorEastAsia" w:eastAsiaTheme="minorEastAsia"/>
                <w:bCs/>
                <w:snapToGrid w:val="0"/>
                <w:sz w:val="18"/>
                <w:szCs w:val="18"/>
              </w:rPr>
              <w:t>序号</w:t>
            </w:r>
          </w:p>
        </w:tc>
        <w:tc>
          <w:tcPr>
            <w:tcW w:w="1287" w:type="dxa"/>
            <w:vAlign w:val="center"/>
          </w:tcPr>
          <w:p>
            <w:pPr>
              <w:pStyle w:val="5"/>
              <w:topLinePunct/>
              <w:autoSpaceDE w:val="0"/>
              <w:autoSpaceDN w:val="0"/>
              <w:adjustRightInd w:val="0"/>
              <w:snapToGrid w:val="0"/>
              <w:spacing w:line="360" w:lineRule="auto"/>
              <w:jc w:val="center"/>
              <w:textAlignment w:val="baseline"/>
              <w:rPr>
                <w:rFonts w:cs="仿宋" w:asciiTheme="minorEastAsia" w:hAnsiTheme="minorEastAsia" w:eastAsiaTheme="minorEastAsia"/>
                <w:bCs/>
                <w:snapToGrid w:val="0"/>
                <w:sz w:val="18"/>
                <w:szCs w:val="18"/>
              </w:rPr>
            </w:pPr>
            <w:r>
              <w:rPr>
                <w:rFonts w:hint="eastAsia" w:cs="仿宋" w:asciiTheme="minorEastAsia" w:hAnsiTheme="minorEastAsia" w:eastAsiaTheme="minorEastAsia"/>
                <w:bCs/>
                <w:snapToGrid w:val="0"/>
                <w:sz w:val="18"/>
                <w:szCs w:val="18"/>
              </w:rPr>
              <w:t>主要设备名称</w:t>
            </w:r>
          </w:p>
        </w:tc>
        <w:tc>
          <w:tcPr>
            <w:tcW w:w="4390" w:type="dxa"/>
            <w:vAlign w:val="center"/>
          </w:tcPr>
          <w:p>
            <w:pPr>
              <w:pStyle w:val="5"/>
              <w:topLinePunct/>
              <w:autoSpaceDE w:val="0"/>
              <w:autoSpaceDN w:val="0"/>
              <w:adjustRightInd w:val="0"/>
              <w:snapToGrid w:val="0"/>
              <w:spacing w:line="360" w:lineRule="auto"/>
              <w:jc w:val="center"/>
              <w:textAlignment w:val="baseline"/>
              <w:rPr>
                <w:rFonts w:cs="仿宋" w:asciiTheme="minorEastAsia" w:hAnsiTheme="minorEastAsia" w:eastAsiaTheme="minorEastAsia"/>
                <w:bCs/>
                <w:snapToGrid w:val="0"/>
                <w:sz w:val="18"/>
                <w:szCs w:val="18"/>
              </w:rPr>
            </w:pPr>
            <w:r>
              <w:rPr>
                <w:rFonts w:hint="eastAsia" w:cs="仿宋" w:asciiTheme="minorEastAsia" w:hAnsiTheme="minorEastAsia" w:eastAsiaTheme="minorEastAsia"/>
                <w:bCs/>
                <w:snapToGrid w:val="0"/>
                <w:sz w:val="18"/>
                <w:szCs w:val="18"/>
              </w:rPr>
              <w:t>技术需求</w:t>
            </w:r>
          </w:p>
        </w:tc>
        <w:tc>
          <w:tcPr>
            <w:tcW w:w="698" w:type="dxa"/>
            <w:vAlign w:val="center"/>
          </w:tcPr>
          <w:p>
            <w:pPr>
              <w:pStyle w:val="5"/>
              <w:topLinePunct/>
              <w:autoSpaceDE w:val="0"/>
              <w:autoSpaceDN w:val="0"/>
              <w:adjustRightInd w:val="0"/>
              <w:snapToGrid w:val="0"/>
              <w:spacing w:line="360" w:lineRule="auto"/>
              <w:jc w:val="center"/>
              <w:textAlignment w:val="baseline"/>
              <w:rPr>
                <w:rFonts w:cs="仿宋" w:asciiTheme="minorEastAsia" w:hAnsiTheme="minorEastAsia" w:eastAsiaTheme="minorEastAsia"/>
                <w:bCs/>
                <w:snapToGrid w:val="0"/>
                <w:sz w:val="18"/>
                <w:szCs w:val="18"/>
              </w:rPr>
            </w:pPr>
            <w:r>
              <w:rPr>
                <w:rFonts w:hint="eastAsia" w:cs="仿宋" w:asciiTheme="minorEastAsia" w:hAnsiTheme="minorEastAsia" w:eastAsiaTheme="minorEastAsia"/>
                <w:bCs/>
                <w:snapToGrid w:val="0"/>
                <w:sz w:val="18"/>
                <w:szCs w:val="18"/>
              </w:rPr>
              <w:t>单位</w:t>
            </w:r>
          </w:p>
        </w:tc>
        <w:tc>
          <w:tcPr>
            <w:tcW w:w="750" w:type="dxa"/>
            <w:vAlign w:val="center"/>
          </w:tcPr>
          <w:p>
            <w:pPr>
              <w:pStyle w:val="5"/>
              <w:topLinePunct/>
              <w:autoSpaceDE w:val="0"/>
              <w:autoSpaceDN w:val="0"/>
              <w:adjustRightInd w:val="0"/>
              <w:snapToGrid w:val="0"/>
              <w:spacing w:line="360" w:lineRule="auto"/>
              <w:jc w:val="center"/>
              <w:textAlignment w:val="baseline"/>
              <w:rPr>
                <w:rFonts w:cs="仿宋" w:asciiTheme="minorEastAsia" w:hAnsiTheme="minorEastAsia" w:eastAsiaTheme="minorEastAsia"/>
                <w:bCs/>
                <w:snapToGrid w:val="0"/>
                <w:sz w:val="18"/>
                <w:szCs w:val="18"/>
                <w:highlight w:val="yellow"/>
              </w:rPr>
            </w:pPr>
            <w:r>
              <w:rPr>
                <w:rFonts w:hint="eastAsia" w:cs="仿宋" w:asciiTheme="minorEastAsia" w:hAnsiTheme="minorEastAsia" w:eastAsiaTheme="minorEastAsia"/>
                <w:bCs/>
                <w:snapToGrid w:val="0"/>
                <w:sz w:val="18"/>
                <w:szCs w:val="18"/>
              </w:rPr>
              <w:t>数量</w:t>
            </w:r>
          </w:p>
        </w:tc>
        <w:tc>
          <w:tcPr>
            <w:tcW w:w="1275" w:type="dxa"/>
            <w:vAlign w:val="center"/>
          </w:tcPr>
          <w:p>
            <w:pPr>
              <w:pStyle w:val="5"/>
              <w:topLinePunct/>
              <w:autoSpaceDE w:val="0"/>
              <w:autoSpaceDN w:val="0"/>
              <w:adjustRightInd w:val="0"/>
              <w:snapToGrid w:val="0"/>
              <w:spacing w:line="360" w:lineRule="auto"/>
              <w:jc w:val="center"/>
              <w:textAlignment w:val="baseline"/>
              <w:rPr>
                <w:rFonts w:cs="仿宋" w:asciiTheme="minorEastAsia" w:hAnsiTheme="minorEastAsia" w:eastAsiaTheme="minorEastAsia"/>
                <w:bCs/>
                <w:snapToGrid w:val="0"/>
                <w:sz w:val="18"/>
                <w:szCs w:val="18"/>
              </w:rPr>
            </w:pPr>
            <w:r>
              <w:rPr>
                <w:rFonts w:hint="eastAsia" w:cs="仿宋" w:asciiTheme="minorEastAsia" w:hAnsiTheme="minorEastAsia" w:eastAsiaTheme="minorEastAsia"/>
                <w:bCs/>
                <w:snapToGrid w:val="0"/>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r>
              <w:rPr>
                <w:rFonts w:hint="eastAsia" w:cs="仿宋" w:asciiTheme="minorEastAsia" w:hAnsiTheme="minorEastAsia" w:eastAsiaTheme="minorEastAsia"/>
                <w:bCs/>
                <w:snapToGrid w:val="0"/>
                <w:sz w:val="18"/>
                <w:szCs w:val="18"/>
              </w:rPr>
              <w:t>一</w:t>
            </w:r>
          </w:p>
        </w:tc>
        <w:tc>
          <w:tcPr>
            <w:tcW w:w="1287" w:type="dxa"/>
            <w:vAlign w:val="center"/>
          </w:tcPr>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r>
              <w:rPr>
                <w:rFonts w:hint="eastAsia" w:cs="仿宋" w:asciiTheme="minorEastAsia" w:hAnsiTheme="minorEastAsia" w:eastAsiaTheme="minorEastAsia"/>
                <w:bCs/>
                <w:snapToGrid w:val="0"/>
                <w:sz w:val="18"/>
                <w:szCs w:val="18"/>
              </w:rPr>
              <w:t>空调部分</w:t>
            </w:r>
          </w:p>
        </w:tc>
        <w:tc>
          <w:tcPr>
            <w:tcW w:w="4390" w:type="dxa"/>
          </w:tcPr>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p>
        </w:tc>
        <w:tc>
          <w:tcPr>
            <w:tcW w:w="698" w:type="dxa"/>
            <w:vAlign w:val="center"/>
          </w:tcPr>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p>
        </w:tc>
        <w:tc>
          <w:tcPr>
            <w:tcW w:w="750" w:type="dxa"/>
            <w:vAlign w:val="center"/>
          </w:tcPr>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p>
        </w:tc>
        <w:tc>
          <w:tcPr>
            <w:tcW w:w="1275" w:type="dxa"/>
            <w:vAlign w:val="center"/>
          </w:tcPr>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r>
              <w:rPr>
                <w:rFonts w:hint="eastAsia" w:cs="仿宋" w:asciiTheme="minorEastAsia" w:hAnsiTheme="minorEastAsia" w:eastAsiaTheme="minorEastAsia"/>
                <w:bCs/>
                <w:snapToGrid w:val="0"/>
                <w:sz w:val="18"/>
                <w:szCs w:val="18"/>
              </w:rPr>
              <w:t>入户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r>
              <w:rPr>
                <w:rFonts w:hint="eastAsia" w:cs="仿宋" w:asciiTheme="minorEastAsia" w:hAnsiTheme="minorEastAsia" w:eastAsiaTheme="minorEastAsia"/>
                <w:bCs/>
                <w:snapToGrid w:val="0"/>
                <w:sz w:val="18"/>
                <w:szCs w:val="18"/>
              </w:rPr>
              <w:t>1</w:t>
            </w:r>
          </w:p>
        </w:tc>
        <w:tc>
          <w:tcPr>
            <w:tcW w:w="1287" w:type="dxa"/>
            <w:vAlign w:val="center"/>
          </w:tcPr>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r>
              <w:rPr>
                <w:rFonts w:hint="eastAsia" w:cs="仿宋" w:asciiTheme="minorEastAsia" w:hAnsiTheme="minorEastAsia" w:eastAsiaTheme="minorEastAsia"/>
                <w:bCs/>
                <w:snapToGrid w:val="0"/>
                <w:sz w:val="18"/>
                <w:szCs w:val="18"/>
              </w:rPr>
              <w:t>空调（挂机变频）</w:t>
            </w:r>
          </w:p>
        </w:tc>
        <w:tc>
          <w:tcPr>
            <w:tcW w:w="4390" w:type="dxa"/>
          </w:tcPr>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r>
              <w:rPr>
                <w:rFonts w:hint="eastAsia" w:cs="仿宋" w:asciiTheme="minorEastAsia" w:hAnsiTheme="minorEastAsia" w:eastAsiaTheme="minorEastAsia"/>
                <w:bCs/>
                <w:snapToGrid w:val="0"/>
                <w:sz w:val="18"/>
                <w:szCs w:val="18"/>
              </w:rPr>
              <w:t>1、投标空调产品为国内知名品牌（格力、美的、海尔）智能空调，可以通过手机远程控制空调，可实现宿舍多人分享空调操控权限。</w:t>
            </w:r>
          </w:p>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r>
              <w:rPr>
                <w:rFonts w:hint="eastAsia" w:cs="仿宋" w:asciiTheme="minorEastAsia" w:hAnsiTheme="minorEastAsia" w:eastAsiaTheme="minorEastAsia"/>
                <w:bCs/>
                <w:snapToGrid w:val="0"/>
                <w:sz w:val="18"/>
                <w:szCs w:val="18"/>
              </w:rPr>
              <w:t>2、能效等级：3级或更优，能效比：》3.28。</w:t>
            </w:r>
          </w:p>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r>
              <w:rPr>
                <w:rFonts w:hint="eastAsia" w:cs="仿宋" w:asciiTheme="minorEastAsia" w:hAnsiTheme="minorEastAsia" w:eastAsiaTheme="minorEastAsia"/>
                <w:bCs/>
                <w:snapToGrid w:val="0"/>
                <w:sz w:val="18"/>
                <w:szCs w:val="18"/>
              </w:rPr>
              <w:t>3、额定制冷量W：≥3350 ，  额定制冷功率W：≤1021，额定制热量W：≥3685W+1000W（PTC），电辅热：》1000W（PTC），制热功率W：≤1010。</w:t>
            </w:r>
          </w:p>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r>
              <w:rPr>
                <w:rFonts w:hint="eastAsia" w:cs="仿宋" w:asciiTheme="minorEastAsia" w:hAnsiTheme="minorEastAsia" w:eastAsiaTheme="minorEastAsia"/>
                <w:bCs/>
                <w:snapToGrid w:val="0"/>
                <w:sz w:val="18"/>
                <w:szCs w:val="18"/>
              </w:rPr>
              <w:t>4.、内机噪音：37-42dB（A）(高风档-超强风挡)，外机噪音：《51dB（A）。循环风量：》600m³/h。</w:t>
            </w:r>
          </w:p>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r>
              <w:rPr>
                <w:rFonts w:hint="eastAsia" w:cs="仿宋" w:asciiTheme="minorEastAsia" w:hAnsiTheme="minorEastAsia" w:eastAsiaTheme="minorEastAsia"/>
                <w:bCs/>
                <w:snapToGrid w:val="0"/>
                <w:sz w:val="18"/>
                <w:szCs w:val="18"/>
              </w:rPr>
              <w:t>空调为壁挂式冷暖空调。</w:t>
            </w:r>
          </w:p>
        </w:tc>
        <w:tc>
          <w:tcPr>
            <w:tcW w:w="698" w:type="dxa"/>
            <w:vAlign w:val="center"/>
          </w:tcPr>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r>
              <w:rPr>
                <w:rFonts w:hint="eastAsia" w:cs="仿宋" w:asciiTheme="minorEastAsia" w:hAnsiTheme="minorEastAsia" w:eastAsiaTheme="minorEastAsia"/>
                <w:bCs/>
                <w:snapToGrid w:val="0"/>
                <w:sz w:val="18"/>
                <w:szCs w:val="18"/>
              </w:rPr>
              <w:t>台</w:t>
            </w:r>
          </w:p>
        </w:tc>
        <w:tc>
          <w:tcPr>
            <w:tcW w:w="750" w:type="dxa"/>
            <w:vAlign w:val="center"/>
          </w:tcPr>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p>
        </w:tc>
        <w:tc>
          <w:tcPr>
            <w:tcW w:w="1275" w:type="dxa"/>
            <w:vAlign w:val="center"/>
          </w:tcPr>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r>
              <w:rPr>
                <w:rFonts w:hint="eastAsia" w:cs="仿宋" w:asciiTheme="minorEastAsia" w:hAnsiTheme="minorEastAsia" w:eastAsiaTheme="minorEastAsia"/>
                <w:bCs/>
                <w:snapToGrid w:val="0"/>
                <w:sz w:val="18"/>
                <w:szCs w:val="18"/>
              </w:rPr>
              <w:t>根据实际情况安装，学生宿舍每户一台。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r>
              <w:rPr>
                <w:rFonts w:hint="eastAsia" w:cs="仿宋" w:asciiTheme="minorEastAsia" w:hAnsiTheme="minorEastAsia" w:eastAsiaTheme="minorEastAsia"/>
                <w:bCs/>
                <w:snapToGrid w:val="0"/>
                <w:sz w:val="18"/>
                <w:szCs w:val="18"/>
              </w:rPr>
              <w:t>二</w:t>
            </w:r>
          </w:p>
        </w:tc>
        <w:tc>
          <w:tcPr>
            <w:tcW w:w="1287" w:type="dxa"/>
            <w:vAlign w:val="center"/>
          </w:tcPr>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r>
              <w:rPr>
                <w:rFonts w:hint="eastAsia" w:cs="仿宋" w:asciiTheme="minorEastAsia" w:hAnsiTheme="minorEastAsia" w:eastAsiaTheme="minorEastAsia"/>
                <w:bCs/>
                <w:snapToGrid w:val="0"/>
                <w:sz w:val="18"/>
                <w:szCs w:val="18"/>
              </w:rPr>
              <w:t>洗衣机部分</w:t>
            </w:r>
          </w:p>
        </w:tc>
        <w:tc>
          <w:tcPr>
            <w:tcW w:w="4390" w:type="dxa"/>
          </w:tcPr>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p>
        </w:tc>
        <w:tc>
          <w:tcPr>
            <w:tcW w:w="698" w:type="dxa"/>
            <w:vAlign w:val="center"/>
          </w:tcPr>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p>
        </w:tc>
        <w:tc>
          <w:tcPr>
            <w:tcW w:w="750" w:type="dxa"/>
            <w:vAlign w:val="center"/>
          </w:tcPr>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p>
        </w:tc>
        <w:tc>
          <w:tcPr>
            <w:tcW w:w="1275" w:type="dxa"/>
            <w:vAlign w:val="center"/>
          </w:tcPr>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r>
              <w:rPr>
                <w:rFonts w:hint="eastAsia" w:cs="仿宋" w:asciiTheme="minorEastAsia" w:hAnsiTheme="minorEastAsia" w:eastAsiaTheme="minorEastAsia"/>
                <w:bCs/>
                <w:snapToGrid w:val="0"/>
                <w:sz w:val="18"/>
                <w:szCs w:val="18"/>
              </w:rPr>
              <w:t>1</w:t>
            </w:r>
          </w:p>
        </w:tc>
        <w:tc>
          <w:tcPr>
            <w:tcW w:w="1287" w:type="dxa"/>
            <w:vAlign w:val="center"/>
          </w:tcPr>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r>
              <w:rPr>
                <w:rFonts w:hint="eastAsia" w:cs="仿宋" w:asciiTheme="minorEastAsia" w:hAnsiTheme="minorEastAsia" w:eastAsiaTheme="minorEastAsia"/>
                <w:bCs/>
                <w:snapToGrid w:val="0"/>
                <w:sz w:val="18"/>
                <w:szCs w:val="18"/>
              </w:rPr>
              <w:t>智能洗衣机</w:t>
            </w:r>
          </w:p>
        </w:tc>
        <w:tc>
          <w:tcPr>
            <w:tcW w:w="4390" w:type="dxa"/>
          </w:tcPr>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r>
              <w:rPr>
                <w:rFonts w:hint="eastAsia" w:cs="仿宋" w:asciiTheme="minorEastAsia" w:hAnsiTheme="minorEastAsia" w:eastAsiaTheme="minorEastAsia"/>
                <w:bCs/>
                <w:snapToGrid w:val="0"/>
                <w:sz w:val="18"/>
                <w:szCs w:val="18"/>
              </w:rPr>
              <w:t>1、一体式整机，内置独立APP控制模块，无任何外挂、外接式其他设备，洗衣机自带消毒功能。楼层可设置烘干机设备（自选）</w:t>
            </w:r>
          </w:p>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r>
              <w:rPr>
                <w:rFonts w:hint="eastAsia" w:cs="仿宋" w:asciiTheme="minorEastAsia" w:hAnsiTheme="minorEastAsia" w:eastAsiaTheme="minorEastAsia"/>
                <w:bCs/>
                <w:snapToGrid w:val="0"/>
                <w:sz w:val="18"/>
                <w:szCs w:val="18"/>
              </w:rPr>
              <w:t>2、可实现手机预约洗衣功能，具有洗衣完成提醒功能。</w:t>
            </w:r>
          </w:p>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r>
              <w:rPr>
                <w:rFonts w:hint="eastAsia" w:cs="仿宋" w:asciiTheme="minorEastAsia" w:hAnsiTheme="minorEastAsia" w:eastAsiaTheme="minorEastAsia"/>
                <w:bCs/>
                <w:snapToGrid w:val="0"/>
                <w:sz w:val="18"/>
                <w:szCs w:val="18"/>
              </w:rPr>
              <w:t>3、学生使用端可支持灵活的月卡套餐，支持24小时APP故障报修，支持在线退款申请。</w:t>
            </w:r>
          </w:p>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r>
              <w:rPr>
                <w:rFonts w:hint="eastAsia" w:cs="仿宋" w:asciiTheme="minorEastAsia" w:hAnsiTheme="minorEastAsia" w:eastAsiaTheme="minorEastAsia"/>
                <w:bCs/>
                <w:snapToGrid w:val="0"/>
                <w:sz w:val="18"/>
                <w:szCs w:val="18"/>
              </w:rPr>
              <w:t>4、后台远程可监管洗衣机运行状态，且学生消费明细可查询。</w:t>
            </w:r>
          </w:p>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r>
              <w:rPr>
                <w:rFonts w:hint="eastAsia" w:cs="仿宋" w:asciiTheme="minorEastAsia" w:hAnsiTheme="minorEastAsia" w:eastAsiaTheme="minorEastAsia"/>
                <w:bCs/>
                <w:snapToGrid w:val="0"/>
                <w:sz w:val="18"/>
                <w:szCs w:val="18"/>
              </w:rPr>
              <w:t>5.标准、大物、快速、单脱4种程序可选。</w:t>
            </w:r>
          </w:p>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r>
              <w:rPr>
                <w:rFonts w:hint="eastAsia" w:cs="仿宋" w:asciiTheme="minorEastAsia" w:hAnsiTheme="minorEastAsia" w:eastAsiaTheme="minorEastAsia"/>
                <w:bCs/>
                <w:snapToGrid w:val="0"/>
                <w:sz w:val="18"/>
                <w:szCs w:val="18"/>
              </w:rPr>
              <w:t>6.洗衣机标准容量不得小于6公斤，品牌为国内优质品牌。</w:t>
            </w:r>
          </w:p>
        </w:tc>
        <w:tc>
          <w:tcPr>
            <w:tcW w:w="698" w:type="dxa"/>
            <w:vAlign w:val="center"/>
          </w:tcPr>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r>
              <w:rPr>
                <w:rFonts w:hint="eastAsia" w:cs="仿宋" w:asciiTheme="minorEastAsia" w:hAnsiTheme="minorEastAsia" w:eastAsiaTheme="minorEastAsia"/>
                <w:bCs/>
                <w:snapToGrid w:val="0"/>
                <w:sz w:val="18"/>
                <w:szCs w:val="18"/>
              </w:rPr>
              <w:t>台</w:t>
            </w:r>
          </w:p>
        </w:tc>
        <w:tc>
          <w:tcPr>
            <w:tcW w:w="750" w:type="dxa"/>
            <w:vAlign w:val="center"/>
          </w:tcPr>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p>
        </w:tc>
        <w:tc>
          <w:tcPr>
            <w:tcW w:w="1275" w:type="dxa"/>
            <w:vAlign w:val="center"/>
          </w:tcPr>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r>
              <w:rPr>
                <w:rFonts w:hint="eastAsia" w:cs="仿宋" w:asciiTheme="minorEastAsia" w:hAnsiTheme="minorEastAsia" w:eastAsiaTheme="minorEastAsia"/>
                <w:bCs/>
                <w:snapToGrid w:val="0"/>
                <w:sz w:val="18"/>
                <w:szCs w:val="18"/>
              </w:rPr>
              <w:t>根据实际情况投放，每间学生宿舍1台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738" w:type="dxa"/>
            <w:vAlign w:val="center"/>
          </w:tcPr>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r>
              <w:rPr>
                <w:rFonts w:hint="eastAsia" w:cs="仿宋" w:asciiTheme="minorEastAsia" w:hAnsiTheme="minorEastAsia" w:eastAsiaTheme="minorEastAsia"/>
                <w:bCs/>
                <w:snapToGrid w:val="0"/>
                <w:sz w:val="18"/>
                <w:szCs w:val="18"/>
              </w:rPr>
              <w:t>三</w:t>
            </w:r>
          </w:p>
        </w:tc>
        <w:tc>
          <w:tcPr>
            <w:tcW w:w="1287" w:type="dxa"/>
            <w:vAlign w:val="center"/>
          </w:tcPr>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r>
              <w:rPr>
                <w:rFonts w:hint="eastAsia" w:cs="仿宋" w:asciiTheme="minorEastAsia" w:hAnsiTheme="minorEastAsia" w:eastAsiaTheme="minorEastAsia"/>
                <w:bCs/>
                <w:snapToGrid w:val="0"/>
                <w:sz w:val="18"/>
                <w:szCs w:val="18"/>
              </w:rPr>
              <w:t>热水部分</w:t>
            </w:r>
          </w:p>
        </w:tc>
        <w:tc>
          <w:tcPr>
            <w:tcW w:w="4390" w:type="dxa"/>
          </w:tcPr>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p>
        </w:tc>
        <w:tc>
          <w:tcPr>
            <w:tcW w:w="698" w:type="dxa"/>
            <w:vAlign w:val="center"/>
          </w:tcPr>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p>
        </w:tc>
        <w:tc>
          <w:tcPr>
            <w:tcW w:w="750" w:type="dxa"/>
            <w:vAlign w:val="center"/>
          </w:tcPr>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p>
        </w:tc>
        <w:tc>
          <w:tcPr>
            <w:tcW w:w="1275" w:type="dxa"/>
            <w:vAlign w:val="center"/>
          </w:tcPr>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r>
              <w:rPr>
                <w:rFonts w:hint="eastAsia" w:cs="仿宋" w:asciiTheme="minorEastAsia" w:hAnsiTheme="minorEastAsia" w:eastAsiaTheme="minorEastAsia"/>
                <w:bCs/>
                <w:snapToGrid w:val="0"/>
                <w:sz w:val="18"/>
                <w:szCs w:val="18"/>
              </w:rPr>
              <w:t>入户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738" w:type="dxa"/>
            <w:vAlign w:val="center"/>
          </w:tcPr>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r>
              <w:rPr>
                <w:rFonts w:cs="仿宋" w:asciiTheme="minorEastAsia" w:hAnsiTheme="minorEastAsia" w:eastAsiaTheme="minorEastAsia"/>
                <w:bCs/>
                <w:sz w:val="18"/>
                <w:szCs w:val="18"/>
              </w:rPr>
              <mc:AlternateContent>
                <mc:Choice Requires="wpc">
                  <w:drawing>
                    <wp:inline distT="0" distB="0" distL="0" distR="0">
                      <wp:extent cx="342900" cy="198120"/>
                      <wp:effectExtent l="4445" t="0" r="0" b="1905"/>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c:wpc>
                        </a:graphicData>
                      </a:graphic>
                    </wp:inline>
                  </w:drawing>
                </mc:Choice>
                <mc:Fallback>
                  <w:pict>
                    <v:group id="_x0000_s1026" o:spid="_x0000_s1026" o:spt="203" style="height:15.6pt;width:27pt;" coordsize="342900,198120" editas="canvas" o:gfxdata="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">
                      <o:lock v:ext="edit" aspectratio="f"/>
                      <v:shape id="_x0000_s1026" o:spid="_x0000_s1026" style="position:absolute;left:0;top:0;height:198120;width:342900;" filled="f" stroked="f" coordsize="21600,21600" o:gfxdata="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">
                        <v:fill on="f" focussize="0,0"/>
                        <v:stroke on="f"/>
                        <v:imagedata o:title=""/>
                        <o:lock v:ext="edit" aspectratio="t"/>
                      </v:shape>
                      <w10:wrap type="none"/>
                      <w10:anchorlock/>
                    </v:group>
                  </w:pict>
                </mc:Fallback>
              </mc:AlternateContent>
            </w:r>
          </w:p>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r>
              <w:rPr>
                <w:rFonts w:hint="eastAsia" w:cs="仿宋" w:asciiTheme="minorEastAsia" w:hAnsiTheme="minorEastAsia" w:eastAsiaTheme="minorEastAsia"/>
                <w:bCs/>
                <w:snapToGrid w:val="0"/>
                <w:sz w:val="18"/>
                <w:szCs w:val="18"/>
              </w:rPr>
              <w:t>1</w:t>
            </w:r>
          </w:p>
        </w:tc>
        <w:tc>
          <w:tcPr>
            <w:tcW w:w="1287" w:type="dxa"/>
            <w:vAlign w:val="center"/>
          </w:tcPr>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r>
              <w:rPr>
                <w:rFonts w:hint="eastAsia" w:cs="仿宋" w:asciiTheme="minorEastAsia" w:hAnsiTheme="minorEastAsia" w:eastAsiaTheme="minorEastAsia"/>
                <w:bCs/>
                <w:snapToGrid w:val="0"/>
                <w:sz w:val="18"/>
                <w:szCs w:val="18"/>
              </w:rPr>
              <w:t>空气源热泵</w:t>
            </w:r>
          </w:p>
        </w:tc>
        <w:tc>
          <w:tcPr>
            <w:tcW w:w="4390" w:type="dxa"/>
          </w:tcPr>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r>
              <w:rPr>
                <w:rFonts w:hint="eastAsia" w:cs="仿宋" w:asciiTheme="minorEastAsia" w:hAnsiTheme="minorEastAsia" w:eastAsiaTheme="minorEastAsia"/>
                <w:bCs/>
                <w:snapToGrid w:val="0"/>
                <w:sz w:val="18"/>
                <w:szCs w:val="18"/>
              </w:rPr>
              <w:t>1、制热方式：循环加热式。冷媒：采用新型环保冷媒。</w:t>
            </w:r>
          </w:p>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r>
              <w:rPr>
                <w:rFonts w:hint="eastAsia" w:cs="仿宋" w:asciiTheme="minorEastAsia" w:hAnsiTheme="minorEastAsia" w:eastAsiaTheme="minorEastAsia"/>
                <w:bCs/>
                <w:snapToGrid w:val="0"/>
                <w:sz w:val="18"/>
                <w:szCs w:val="18"/>
              </w:rPr>
              <w:t>2、采用纳米亲水膜蒸发器，提供相关证明文件复印件并加盖厂商公章。</w:t>
            </w:r>
          </w:p>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r>
              <w:rPr>
                <w:rFonts w:hint="eastAsia" w:cs="仿宋" w:asciiTheme="minorEastAsia" w:hAnsiTheme="minorEastAsia" w:eastAsiaTheme="minorEastAsia"/>
                <w:bCs/>
                <w:snapToGrid w:val="0"/>
                <w:sz w:val="18"/>
                <w:szCs w:val="18"/>
              </w:rPr>
              <w:t>3、所投空气源热泵采用套管式换热器，产品换热器内管材质为高效低肋内螺纹双齿紫铜管，提供相关证明文件复印件并加盖厂商公章。</w:t>
            </w:r>
          </w:p>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r>
              <w:rPr>
                <w:rFonts w:hint="eastAsia" w:cs="仿宋" w:asciiTheme="minorEastAsia" w:hAnsiTheme="minorEastAsia" w:eastAsiaTheme="minorEastAsia"/>
                <w:bCs/>
                <w:snapToGrid w:val="0"/>
                <w:sz w:val="18"/>
                <w:szCs w:val="18"/>
              </w:rPr>
              <w:t xml:space="preserve">4、热泵核心部件压缩机必须为低噪音、抗“液击”能力强、耐磨损、耐高温的国际知名品牌压缩机。具有自动保护措施，提供相关证明文件复印件并加盖厂商公章。 </w:t>
            </w:r>
          </w:p>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r>
              <w:rPr>
                <w:rFonts w:hint="eastAsia" w:cs="仿宋" w:asciiTheme="minorEastAsia" w:hAnsiTheme="minorEastAsia" w:eastAsiaTheme="minorEastAsia"/>
                <w:bCs/>
                <w:snapToGrid w:val="0"/>
                <w:sz w:val="18"/>
                <w:szCs w:val="18"/>
              </w:rPr>
              <w:t>5、所投25匹机单台空气源热泵普通型名义工况主机额定功率:≤16.4kw，额定制热量≥77.8kw，性能系数≥4.74，运行噪音64.5dba。（所提供检验报告必须含有常温型名义工况的制热量、制热消耗总电功率、制热性能系数、噪声等项目）</w:t>
            </w:r>
          </w:p>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r>
              <w:rPr>
                <w:rFonts w:hint="eastAsia" w:cs="仿宋" w:asciiTheme="minorEastAsia" w:hAnsiTheme="minorEastAsia" w:eastAsiaTheme="minorEastAsia"/>
                <w:bCs/>
                <w:snapToGrid w:val="0"/>
                <w:sz w:val="18"/>
                <w:szCs w:val="18"/>
              </w:rPr>
              <w:t>6、所投空气源热泵产品带有供、回水温度传感器，具有定时供水及定温回水功能，能够实时传输供、回水温度、故障信息和运行状态方便人员的管理与控制，即开即热供应热水。</w:t>
            </w:r>
          </w:p>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r>
              <w:rPr>
                <w:rFonts w:hint="eastAsia" w:cs="仿宋" w:asciiTheme="minorEastAsia" w:hAnsiTheme="minorEastAsia" w:eastAsiaTheme="minorEastAsia"/>
                <w:bCs/>
                <w:snapToGrid w:val="0"/>
                <w:sz w:val="18"/>
                <w:szCs w:val="18"/>
              </w:rPr>
              <w:t>7、操作屏外观美丽大方，操作屏LCD显示设有压力、温度等显示装置，具备热水超温保护、氟路高低压保护、压缩机过流过载保护、水流保护、启动延时、排气温度保护、相序逆相或缺相保护、缺水停机保护、高压保护、传感器故障保护、冬季防冻运行、PID智能除霜、漏电保护、接地保护、掉点记忆功能、484通讯接口外接远程监控平台（通过数据采集器把RS485通讯转换为tcp/ip通讯，可直接把数据传送到我监控运行平台）等多重保护和故障报警功能。并且显示清晰、直观，可实现手动，自动开关机，满足峰谷电加热的目的。确保热泵设备安全运行工作。</w:t>
            </w:r>
          </w:p>
        </w:tc>
        <w:tc>
          <w:tcPr>
            <w:tcW w:w="698" w:type="dxa"/>
            <w:vAlign w:val="center"/>
          </w:tcPr>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r>
              <w:rPr>
                <w:rFonts w:hint="eastAsia" w:cs="仿宋" w:asciiTheme="minorEastAsia" w:hAnsiTheme="minorEastAsia" w:eastAsiaTheme="minorEastAsia"/>
                <w:bCs/>
                <w:snapToGrid w:val="0"/>
                <w:sz w:val="18"/>
                <w:szCs w:val="18"/>
              </w:rPr>
              <w:t>台</w:t>
            </w:r>
          </w:p>
        </w:tc>
        <w:tc>
          <w:tcPr>
            <w:tcW w:w="750" w:type="dxa"/>
            <w:vAlign w:val="center"/>
          </w:tcPr>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p>
        </w:tc>
        <w:tc>
          <w:tcPr>
            <w:tcW w:w="1275" w:type="dxa"/>
            <w:vAlign w:val="center"/>
          </w:tcPr>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r>
              <w:rPr>
                <w:rFonts w:hint="eastAsia" w:cs="仿宋" w:asciiTheme="minorEastAsia" w:hAnsiTheme="minorEastAsia" w:eastAsiaTheme="minorEastAsia"/>
                <w:bCs/>
                <w:snapToGrid w:val="0"/>
                <w:sz w:val="18"/>
                <w:szCs w:val="18"/>
              </w:rPr>
              <w:t>根据实际情况投放</w:t>
            </w:r>
          </w:p>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0" w:hRule="atLeast"/>
        </w:trPr>
        <w:tc>
          <w:tcPr>
            <w:tcW w:w="738" w:type="dxa"/>
            <w:vAlign w:val="center"/>
          </w:tcPr>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r>
              <w:rPr>
                <w:rFonts w:hint="eastAsia" w:cs="仿宋" w:asciiTheme="minorEastAsia" w:hAnsiTheme="minorEastAsia" w:eastAsiaTheme="minorEastAsia"/>
                <w:bCs/>
                <w:snapToGrid w:val="0"/>
                <w:sz w:val="18"/>
                <w:szCs w:val="18"/>
              </w:rPr>
              <w:t>2</w:t>
            </w:r>
          </w:p>
        </w:tc>
        <w:tc>
          <w:tcPr>
            <w:tcW w:w="1287" w:type="dxa"/>
            <w:vAlign w:val="center"/>
          </w:tcPr>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r>
              <w:rPr>
                <w:rFonts w:hint="eastAsia" w:cs="仿宋" w:asciiTheme="minorEastAsia" w:hAnsiTheme="minorEastAsia" w:eastAsiaTheme="minorEastAsia"/>
                <w:bCs/>
                <w:snapToGrid w:val="0"/>
                <w:sz w:val="18"/>
                <w:szCs w:val="18"/>
              </w:rPr>
              <w:t>热水表</w:t>
            </w:r>
          </w:p>
        </w:tc>
        <w:tc>
          <w:tcPr>
            <w:tcW w:w="4390" w:type="dxa"/>
          </w:tcPr>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r>
              <w:rPr>
                <w:rFonts w:hint="eastAsia" w:cs="仿宋" w:asciiTheme="minorEastAsia" w:hAnsiTheme="minorEastAsia" w:eastAsiaTheme="minorEastAsia"/>
                <w:bCs/>
                <w:snapToGrid w:val="0"/>
                <w:sz w:val="18"/>
                <w:szCs w:val="18"/>
              </w:rPr>
              <w:t>1、计费终端水控采用双蓝牙模块通讯方式，极速连接，学生通过手机APP进行操作，手机在手即可用水。可实现无卡消费，不用挂失、补卡等，不担心账户金额问题。</w:t>
            </w:r>
          </w:p>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r>
              <w:rPr>
                <w:rFonts w:hint="eastAsia" w:cs="仿宋" w:asciiTheme="minorEastAsia" w:hAnsiTheme="minorEastAsia" w:eastAsiaTheme="minorEastAsia"/>
                <w:bCs/>
                <w:snapToGrid w:val="0"/>
                <w:sz w:val="18"/>
                <w:szCs w:val="18"/>
              </w:rPr>
              <w:t>2、学生通过APP可以实现开户、充值、消费查询功能。余额不足可通过支付宝/微信支付。消费结束产生账单，消费清晰。</w:t>
            </w:r>
          </w:p>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r>
              <w:rPr>
                <w:rFonts w:hint="eastAsia" w:cs="仿宋" w:asciiTheme="minorEastAsia" w:hAnsiTheme="minorEastAsia" w:eastAsiaTheme="minorEastAsia"/>
                <w:bCs/>
                <w:snapToGrid w:val="0"/>
                <w:sz w:val="18"/>
                <w:szCs w:val="18"/>
              </w:rPr>
              <w:t>3、学生通过APP可以实现故障报修功能。</w:t>
            </w:r>
          </w:p>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r>
              <w:rPr>
                <w:rFonts w:hint="eastAsia" w:cs="仿宋" w:asciiTheme="minorEastAsia" w:hAnsiTheme="minorEastAsia" w:eastAsiaTheme="minorEastAsia"/>
                <w:bCs/>
                <w:snapToGrid w:val="0"/>
                <w:sz w:val="18"/>
                <w:szCs w:val="18"/>
              </w:rPr>
              <w:t>4、计费终端表具采取直流12V电源供电，每间房间专用插座取电。</w:t>
            </w:r>
          </w:p>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r>
              <w:rPr>
                <w:rFonts w:hint="eastAsia" w:cs="仿宋" w:asciiTheme="minorEastAsia" w:hAnsiTheme="minorEastAsia" w:eastAsiaTheme="minorEastAsia"/>
                <w:bCs/>
                <w:snapToGrid w:val="0"/>
                <w:sz w:val="18"/>
                <w:szCs w:val="18"/>
              </w:rPr>
              <w:t>5、计费终端表具为防水设计，键盘和上下壳接缝双层设计并有硅胶密封件防水。</w:t>
            </w:r>
          </w:p>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r>
              <w:rPr>
                <w:rFonts w:hint="eastAsia" w:cs="仿宋" w:asciiTheme="minorEastAsia" w:hAnsiTheme="minorEastAsia" w:eastAsiaTheme="minorEastAsia"/>
                <w:bCs/>
                <w:snapToGrid w:val="0"/>
                <w:sz w:val="18"/>
                <w:szCs w:val="18"/>
              </w:rPr>
              <w:t>6、计费终端表具为液晶屏显示，启动后直接显示本终端二维码。</w:t>
            </w:r>
          </w:p>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r>
              <w:rPr>
                <w:rFonts w:hint="eastAsia" w:cs="仿宋" w:asciiTheme="minorEastAsia" w:hAnsiTheme="minorEastAsia" w:eastAsiaTheme="minorEastAsia"/>
                <w:bCs/>
                <w:snapToGrid w:val="0"/>
                <w:sz w:val="18"/>
                <w:szCs w:val="18"/>
              </w:rPr>
              <w:t>7、计费终端表具配置防拆，防破坏装置。</w:t>
            </w:r>
          </w:p>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r>
              <w:rPr>
                <w:rFonts w:hint="eastAsia" w:cs="仿宋" w:asciiTheme="minorEastAsia" w:hAnsiTheme="minorEastAsia" w:eastAsiaTheme="minorEastAsia"/>
                <w:bCs/>
                <w:snapToGrid w:val="0"/>
                <w:sz w:val="18"/>
                <w:szCs w:val="18"/>
              </w:rPr>
              <w:t>8、计费终端表具有防强磁功能，计费标准达到B级。</w:t>
            </w:r>
          </w:p>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r>
              <w:rPr>
                <w:rFonts w:hint="eastAsia" w:cs="仿宋" w:asciiTheme="minorEastAsia" w:hAnsiTheme="minorEastAsia" w:eastAsiaTheme="minorEastAsia"/>
                <w:bCs/>
                <w:snapToGrid w:val="0"/>
                <w:sz w:val="18"/>
                <w:szCs w:val="18"/>
              </w:rPr>
              <w:t>9、计费终端表具最小计费金额可精确到厘元。</w:t>
            </w:r>
          </w:p>
        </w:tc>
        <w:tc>
          <w:tcPr>
            <w:tcW w:w="698" w:type="dxa"/>
            <w:vAlign w:val="center"/>
          </w:tcPr>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r>
              <w:rPr>
                <w:rFonts w:hint="eastAsia" w:cs="仿宋" w:asciiTheme="minorEastAsia" w:hAnsiTheme="minorEastAsia" w:eastAsiaTheme="minorEastAsia"/>
                <w:bCs/>
                <w:snapToGrid w:val="0"/>
                <w:sz w:val="18"/>
                <w:szCs w:val="18"/>
              </w:rPr>
              <w:t>台</w:t>
            </w:r>
          </w:p>
        </w:tc>
        <w:tc>
          <w:tcPr>
            <w:tcW w:w="750" w:type="dxa"/>
            <w:vAlign w:val="center"/>
          </w:tcPr>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p>
        </w:tc>
        <w:tc>
          <w:tcPr>
            <w:tcW w:w="1275" w:type="dxa"/>
            <w:vAlign w:val="center"/>
          </w:tcPr>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r>
              <w:rPr>
                <w:rFonts w:hint="eastAsia" w:cs="仿宋" w:asciiTheme="minorEastAsia" w:hAnsiTheme="minorEastAsia" w:eastAsiaTheme="minorEastAsia"/>
                <w:bCs/>
                <w:snapToGrid w:val="0"/>
                <w:sz w:val="18"/>
                <w:szCs w:val="18"/>
              </w:rPr>
              <w:t>学生宿舍每户一台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r>
              <w:rPr>
                <w:rFonts w:hint="eastAsia" w:cs="仿宋" w:asciiTheme="minorEastAsia" w:hAnsiTheme="minorEastAsia" w:eastAsiaTheme="minorEastAsia"/>
                <w:bCs/>
                <w:snapToGrid w:val="0"/>
                <w:sz w:val="18"/>
                <w:szCs w:val="18"/>
              </w:rPr>
              <w:t>四</w:t>
            </w:r>
          </w:p>
        </w:tc>
        <w:tc>
          <w:tcPr>
            <w:tcW w:w="1287" w:type="dxa"/>
            <w:vAlign w:val="center"/>
          </w:tcPr>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r>
              <w:rPr>
                <w:rFonts w:hint="eastAsia" w:cs="仿宋" w:asciiTheme="minorEastAsia" w:hAnsiTheme="minorEastAsia" w:eastAsiaTheme="minorEastAsia"/>
                <w:bCs/>
                <w:snapToGrid w:val="0"/>
                <w:sz w:val="18"/>
                <w:szCs w:val="18"/>
              </w:rPr>
              <w:t>直饮水部分</w:t>
            </w:r>
          </w:p>
        </w:tc>
        <w:tc>
          <w:tcPr>
            <w:tcW w:w="4390" w:type="dxa"/>
          </w:tcPr>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p>
        </w:tc>
        <w:tc>
          <w:tcPr>
            <w:tcW w:w="698" w:type="dxa"/>
            <w:vAlign w:val="center"/>
          </w:tcPr>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p>
        </w:tc>
        <w:tc>
          <w:tcPr>
            <w:tcW w:w="750" w:type="dxa"/>
            <w:vAlign w:val="center"/>
          </w:tcPr>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p>
        </w:tc>
        <w:tc>
          <w:tcPr>
            <w:tcW w:w="1275" w:type="dxa"/>
            <w:vAlign w:val="center"/>
          </w:tcPr>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r>
              <w:rPr>
                <w:rFonts w:hint="eastAsia" w:cs="仿宋" w:asciiTheme="minorEastAsia" w:hAnsiTheme="minorEastAsia" w:eastAsiaTheme="minorEastAsia"/>
                <w:bCs/>
                <w:snapToGrid w:val="0"/>
                <w:sz w:val="18"/>
                <w:szCs w:val="18"/>
              </w:rPr>
              <w:t>1</w:t>
            </w:r>
          </w:p>
        </w:tc>
        <w:tc>
          <w:tcPr>
            <w:tcW w:w="1287" w:type="dxa"/>
            <w:vAlign w:val="center"/>
          </w:tcPr>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r>
              <w:rPr>
                <w:rFonts w:hint="eastAsia" w:cs="仿宋" w:asciiTheme="minorEastAsia" w:hAnsiTheme="minorEastAsia" w:eastAsiaTheme="minorEastAsia"/>
                <w:bCs/>
                <w:snapToGrid w:val="0"/>
                <w:sz w:val="18"/>
                <w:szCs w:val="18"/>
              </w:rPr>
              <w:t>饮水终端</w:t>
            </w:r>
          </w:p>
        </w:tc>
        <w:tc>
          <w:tcPr>
            <w:tcW w:w="4390" w:type="dxa"/>
          </w:tcPr>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r>
              <w:rPr>
                <w:rFonts w:hint="eastAsia" w:cs="仿宋" w:asciiTheme="minorEastAsia" w:hAnsiTheme="minorEastAsia" w:eastAsiaTheme="minorEastAsia"/>
                <w:bCs/>
                <w:snapToGrid w:val="0"/>
                <w:sz w:val="18"/>
                <w:szCs w:val="18"/>
              </w:rPr>
              <w:t>1、内嵌智能控制板和计费系统，电子计量计费准确</w:t>
            </w:r>
          </w:p>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r>
              <w:rPr>
                <w:rFonts w:hint="eastAsia" w:cs="仿宋" w:asciiTheme="minorEastAsia" w:hAnsiTheme="minorEastAsia" w:eastAsiaTheme="minorEastAsia"/>
                <w:bCs/>
                <w:snapToGrid w:val="0"/>
                <w:sz w:val="18"/>
                <w:szCs w:val="18"/>
              </w:rPr>
              <w:t>2、采用高效UV紫外线杀菌，确保水质安全卫生</w:t>
            </w:r>
          </w:p>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r>
              <w:rPr>
                <w:rFonts w:hint="eastAsia" w:cs="仿宋" w:asciiTheme="minorEastAsia" w:hAnsiTheme="minorEastAsia" w:eastAsiaTheme="minorEastAsia"/>
                <w:bCs/>
                <w:snapToGrid w:val="0"/>
                <w:sz w:val="18"/>
                <w:szCs w:val="18"/>
              </w:rPr>
              <w:t>3、无水箱设计，杜绝二次污染，无死水，确保水质新鲜</w:t>
            </w:r>
          </w:p>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r>
              <w:rPr>
                <w:rFonts w:hint="eastAsia" w:cs="仿宋" w:asciiTheme="minorEastAsia" w:hAnsiTheme="minorEastAsia" w:eastAsiaTheme="minorEastAsia"/>
                <w:bCs/>
                <w:snapToGrid w:val="0"/>
                <w:sz w:val="18"/>
                <w:szCs w:val="18"/>
              </w:rPr>
              <w:t>4、出水温度高于普通饮水机，提供更好的冲泡效果</w:t>
            </w:r>
          </w:p>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r>
              <w:rPr>
                <w:rFonts w:hint="eastAsia" w:cs="仿宋" w:asciiTheme="minorEastAsia" w:hAnsiTheme="minorEastAsia" w:eastAsiaTheme="minorEastAsia"/>
                <w:bCs/>
                <w:snapToGrid w:val="0"/>
                <w:sz w:val="18"/>
                <w:szCs w:val="18"/>
              </w:rPr>
              <w:t>5、4L热罐大流量出水，每分钟2L水，满足学生课间取水</w:t>
            </w:r>
          </w:p>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r>
              <w:rPr>
                <w:rFonts w:hint="eastAsia" w:cs="仿宋" w:asciiTheme="minorEastAsia" w:hAnsiTheme="minorEastAsia" w:eastAsiaTheme="minorEastAsia"/>
                <w:bCs/>
                <w:snapToGrid w:val="0"/>
                <w:sz w:val="18"/>
                <w:szCs w:val="18"/>
              </w:rPr>
              <w:t>6、防漏水结构，多重防干烧设计</w:t>
            </w:r>
          </w:p>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r>
              <w:rPr>
                <w:rFonts w:hint="eastAsia" w:cs="仿宋" w:asciiTheme="minorEastAsia" w:hAnsiTheme="minorEastAsia" w:eastAsiaTheme="minorEastAsia"/>
                <w:bCs/>
                <w:snapToGrid w:val="0"/>
                <w:sz w:val="18"/>
                <w:szCs w:val="18"/>
              </w:rPr>
              <w:t>7、独特保温结构，持续保温、节能</w:t>
            </w:r>
          </w:p>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r>
              <w:rPr>
                <w:rFonts w:hint="eastAsia" w:cs="仿宋" w:asciiTheme="minorEastAsia" w:hAnsiTheme="minorEastAsia" w:eastAsiaTheme="minorEastAsia"/>
                <w:bCs/>
                <w:snapToGrid w:val="0"/>
                <w:sz w:val="18"/>
                <w:szCs w:val="18"/>
              </w:rPr>
              <w:t>8、电子童锁设计，防止儿童烫伤。</w:t>
            </w:r>
          </w:p>
        </w:tc>
        <w:tc>
          <w:tcPr>
            <w:tcW w:w="698" w:type="dxa"/>
            <w:vAlign w:val="center"/>
          </w:tcPr>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r>
              <w:rPr>
                <w:rFonts w:hint="eastAsia" w:cs="仿宋" w:asciiTheme="minorEastAsia" w:hAnsiTheme="minorEastAsia" w:eastAsiaTheme="minorEastAsia"/>
                <w:bCs/>
                <w:snapToGrid w:val="0"/>
                <w:sz w:val="18"/>
                <w:szCs w:val="18"/>
              </w:rPr>
              <w:t>台</w:t>
            </w:r>
          </w:p>
        </w:tc>
        <w:tc>
          <w:tcPr>
            <w:tcW w:w="750" w:type="dxa"/>
            <w:vAlign w:val="center"/>
          </w:tcPr>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p>
        </w:tc>
        <w:tc>
          <w:tcPr>
            <w:tcW w:w="1275" w:type="dxa"/>
            <w:vAlign w:val="center"/>
          </w:tcPr>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r>
              <w:rPr>
                <w:rFonts w:hint="eastAsia" w:cs="仿宋" w:asciiTheme="minorEastAsia" w:hAnsiTheme="minorEastAsia" w:eastAsiaTheme="minorEastAsia"/>
                <w:bCs/>
                <w:snapToGrid w:val="0"/>
                <w:sz w:val="18"/>
                <w:szCs w:val="18"/>
              </w:rPr>
              <w:t>根据实际情况投放，学生宿舍</w:t>
            </w:r>
            <w:r>
              <w:rPr>
                <w:rFonts w:hint="eastAsia" w:cs="宋体" w:asciiTheme="minorEastAsia" w:hAnsiTheme="minorEastAsia" w:eastAsiaTheme="minorEastAsia"/>
                <w:bCs/>
                <w:sz w:val="18"/>
                <w:szCs w:val="18"/>
              </w:rPr>
              <w:t>每层根据学生需求安装直饮水平台</w:t>
            </w:r>
            <w:r>
              <w:rPr>
                <w:rFonts w:hint="eastAsia" w:cs="仿宋" w:asciiTheme="minorEastAsia" w:hAnsiTheme="minorEastAsia" w:eastAsiaTheme="minorEastAsia"/>
                <w:bCs/>
                <w:snapToGrid w:val="0"/>
                <w:sz w:val="18"/>
                <w:szCs w:val="18"/>
              </w:rPr>
              <w:t>，</w:t>
            </w:r>
            <w:r>
              <w:rPr>
                <w:rFonts w:hint="eastAsia" w:cs="宋体" w:asciiTheme="minorEastAsia" w:hAnsiTheme="minorEastAsia" w:eastAsiaTheme="minorEastAsia"/>
                <w:bCs/>
                <w:sz w:val="18"/>
                <w:szCs w:val="18"/>
              </w:rPr>
              <w:t>实训楼、图书馆、教学楼等根据需求安装直饮水平台</w:t>
            </w:r>
            <w:r>
              <w:rPr>
                <w:rFonts w:hint="eastAsia" w:cs="仿宋" w:asciiTheme="minorEastAsia" w:hAnsiTheme="minorEastAsia" w:eastAsiaTheme="minorEastAsia"/>
                <w:bCs/>
                <w:snapToGrid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4" w:hRule="atLeast"/>
        </w:trPr>
        <w:tc>
          <w:tcPr>
            <w:tcW w:w="738" w:type="dxa"/>
            <w:vAlign w:val="center"/>
          </w:tcPr>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r>
              <w:rPr>
                <w:rFonts w:hint="eastAsia" w:cs="仿宋" w:asciiTheme="minorEastAsia" w:hAnsiTheme="minorEastAsia" w:eastAsiaTheme="minorEastAsia"/>
                <w:bCs/>
                <w:snapToGrid w:val="0"/>
                <w:sz w:val="18"/>
                <w:szCs w:val="18"/>
              </w:rPr>
              <w:t>2</w:t>
            </w:r>
          </w:p>
        </w:tc>
        <w:tc>
          <w:tcPr>
            <w:tcW w:w="1287" w:type="dxa"/>
            <w:vAlign w:val="center"/>
          </w:tcPr>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r>
              <w:rPr>
                <w:rFonts w:hint="eastAsia" w:cs="仿宋" w:asciiTheme="minorEastAsia" w:hAnsiTheme="minorEastAsia" w:eastAsiaTheme="minorEastAsia"/>
                <w:bCs/>
                <w:snapToGrid w:val="0"/>
                <w:sz w:val="18"/>
                <w:szCs w:val="18"/>
              </w:rPr>
              <w:t>中央净水处理系统</w:t>
            </w:r>
          </w:p>
        </w:tc>
        <w:tc>
          <w:tcPr>
            <w:tcW w:w="4390" w:type="dxa"/>
          </w:tcPr>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r>
              <w:rPr>
                <w:rFonts w:hint="eastAsia" w:cs="仿宋" w:asciiTheme="minorEastAsia" w:hAnsiTheme="minorEastAsia" w:eastAsiaTheme="minorEastAsia"/>
                <w:bCs/>
                <w:snapToGrid w:val="0"/>
                <w:sz w:val="18"/>
                <w:szCs w:val="18"/>
              </w:rPr>
              <w:t>净水系统包含：</w:t>
            </w:r>
          </w:p>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r>
              <w:rPr>
                <w:rFonts w:hint="eastAsia" w:cs="仿宋" w:asciiTheme="minorEastAsia" w:hAnsiTheme="minorEastAsia" w:eastAsiaTheme="minorEastAsia"/>
                <w:bCs/>
                <w:snapToGrid w:val="0"/>
                <w:sz w:val="18"/>
                <w:szCs w:val="18"/>
              </w:rPr>
              <w:t>1、制水主机系统；</w:t>
            </w:r>
          </w:p>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r>
              <w:rPr>
                <w:rFonts w:hint="eastAsia" w:cs="仿宋" w:asciiTheme="minorEastAsia" w:hAnsiTheme="minorEastAsia" w:eastAsiaTheme="minorEastAsia"/>
                <w:bCs/>
                <w:snapToGrid w:val="0"/>
                <w:sz w:val="18"/>
                <w:szCs w:val="18"/>
              </w:rPr>
              <w:t>2、紫外线杀菌系统；</w:t>
            </w:r>
          </w:p>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r>
              <w:rPr>
                <w:rFonts w:hint="eastAsia" w:cs="仿宋" w:asciiTheme="minorEastAsia" w:hAnsiTheme="minorEastAsia" w:eastAsiaTheme="minorEastAsia"/>
                <w:bCs/>
                <w:snapToGrid w:val="0"/>
                <w:sz w:val="18"/>
                <w:szCs w:val="18"/>
              </w:rPr>
              <w:t>3、供水及循环系统；</w:t>
            </w:r>
          </w:p>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r>
              <w:rPr>
                <w:rFonts w:hint="eastAsia" w:cs="仿宋" w:asciiTheme="minorEastAsia" w:hAnsiTheme="minorEastAsia" w:eastAsiaTheme="minorEastAsia"/>
                <w:bCs/>
                <w:snapToGrid w:val="0"/>
                <w:sz w:val="18"/>
                <w:szCs w:val="18"/>
              </w:rPr>
              <w:t>4、自动变频控制系统；</w:t>
            </w:r>
          </w:p>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r>
              <w:rPr>
                <w:rFonts w:hint="eastAsia" w:cs="仿宋" w:asciiTheme="minorEastAsia" w:hAnsiTheme="minorEastAsia" w:eastAsiaTheme="minorEastAsia"/>
                <w:bCs/>
                <w:snapToGrid w:val="0"/>
                <w:sz w:val="18"/>
                <w:szCs w:val="18"/>
              </w:rPr>
              <w:t>5、机房管道系统；</w:t>
            </w:r>
          </w:p>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r>
              <w:rPr>
                <w:rFonts w:hint="eastAsia" w:cs="仿宋" w:asciiTheme="minorEastAsia" w:hAnsiTheme="minorEastAsia" w:eastAsiaTheme="minorEastAsia"/>
                <w:bCs/>
                <w:snapToGrid w:val="0"/>
                <w:sz w:val="18"/>
                <w:szCs w:val="18"/>
              </w:rPr>
              <w:t>6、自动冲洗系统；</w:t>
            </w:r>
          </w:p>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r>
              <w:rPr>
                <w:rFonts w:hint="eastAsia" w:cs="仿宋" w:asciiTheme="minorEastAsia" w:hAnsiTheme="minorEastAsia" w:eastAsiaTheme="minorEastAsia"/>
                <w:bCs/>
                <w:snapToGrid w:val="0"/>
                <w:sz w:val="18"/>
                <w:szCs w:val="18"/>
              </w:rPr>
              <w:t>7、304不锈钢水箱。</w:t>
            </w:r>
          </w:p>
        </w:tc>
        <w:tc>
          <w:tcPr>
            <w:tcW w:w="698" w:type="dxa"/>
            <w:vAlign w:val="center"/>
          </w:tcPr>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r>
              <w:rPr>
                <w:rFonts w:hint="eastAsia" w:cs="仿宋" w:asciiTheme="minorEastAsia" w:hAnsiTheme="minorEastAsia" w:eastAsiaTheme="minorEastAsia"/>
                <w:bCs/>
                <w:snapToGrid w:val="0"/>
                <w:sz w:val="18"/>
                <w:szCs w:val="18"/>
              </w:rPr>
              <w:t>套</w:t>
            </w:r>
          </w:p>
        </w:tc>
        <w:tc>
          <w:tcPr>
            <w:tcW w:w="750" w:type="dxa"/>
            <w:vAlign w:val="center"/>
          </w:tcPr>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r>
              <w:rPr>
                <w:rFonts w:hint="eastAsia" w:cs="仿宋" w:asciiTheme="minorEastAsia" w:hAnsiTheme="minorEastAsia" w:eastAsiaTheme="minorEastAsia"/>
                <w:bCs/>
                <w:snapToGrid w:val="0"/>
                <w:sz w:val="18"/>
                <w:szCs w:val="18"/>
              </w:rPr>
              <w:t>1</w:t>
            </w:r>
          </w:p>
        </w:tc>
        <w:tc>
          <w:tcPr>
            <w:tcW w:w="1275" w:type="dxa"/>
            <w:vAlign w:val="center"/>
          </w:tcPr>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18"/>
                <w:szCs w:val="18"/>
              </w:rPr>
            </w:pPr>
            <w:r>
              <w:rPr>
                <w:rFonts w:hint="eastAsia" w:cs="仿宋" w:asciiTheme="minorEastAsia" w:hAnsiTheme="minorEastAsia" w:eastAsiaTheme="minorEastAsia"/>
                <w:bCs/>
                <w:snapToGrid w:val="0"/>
                <w:sz w:val="18"/>
                <w:szCs w:val="18"/>
              </w:rPr>
              <w:t>按5000人的规模建设</w:t>
            </w:r>
          </w:p>
        </w:tc>
      </w:tr>
    </w:tbl>
    <w:p>
      <w:pPr>
        <w:pStyle w:val="5"/>
        <w:topLinePunct/>
        <w:autoSpaceDE w:val="0"/>
        <w:autoSpaceDN w:val="0"/>
        <w:adjustRightInd w:val="0"/>
        <w:snapToGrid w:val="0"/>
        <w:spacing w:line="360" w:lineRule="auto"/>
        <w:ind w:firstLine="420" w:firstLineChars="200"/>
        <w:textAlignment w:val="baseline"/>
        <w:rPr>
          <w:rFonts w:cs="仿宋" w:asciiTheme="minorEastAsia" w:hAnsiTheme="minorEastAsia" w:eastAsiaTheme="minorEastAsia"/>
          <w:bCs/>
          <w:snapToGrid w:val="0"/>
          <w:sz w:val="21"/>
          <w:szCs w:val="21"/>
        </w:rPr>
      </w:pPr>
    </w:p>
    <w:p>
      <w:pPr>
        <w:pStyle w:val="5"/>
        <w:topLinePunct/>
        <w:autoSpaceDE w:val="0"/>
        <w:autoSpaceDN w:val="0"/>
        <w:adjustRightInd w:val="0"/>
        <w:snapToGrid w:val="0"/>
        <w:spacing w:line="360" w:lineRule="auto"/>
        <w:ind w:firstLine="420" w:firstLineChars="200"/>
        <w:textAlignment w:val="baseline"/>
        <w:rPr>
          <w:rFonts w:cs="仿宋" w:asciiTheme="minorEastAsia" w:hAnsiTheme="minorEastAsia" w:eastAsiaTheme="minorEastAsia"/>
          <w:bCs/>
          <w:snapToGrid w:val="0"/>
          <w:sz w:val="21"/>
          <w:szCs w:val="21"/>
        </w:rPr>
      </w:pPr>
      <w:r>
        <w:rPr>
          <w:rFonts w:hint="eastAsia" w:cs="仿宋" w:asciiTheme="minorEastAsia" w:hAnsiTheme="minorEastAsia" w:eastAsiaTheme="minorEastAsia"/>
          <w:bCs/>
          <w:snapToGrid w:val="0"/>
          <w:sz w:val="21"/>
          <w:szCs w:val="21"/>
        </w:rPr>
        <w:t>备注：1、要求热水和直饮水、洗衣机供应系统，采用虚拟卡技术，手机消费及网络平台查询支付功能。2、以满足学生生活实际需求为目的，不得引发学生成片投诉，影响学校正常教学秩序，造成不良影响。</w:t>
      </w:r>
      <w:r>
        <w:rPr>
          <w:rFonts w:hint="eastAsia" w:cs="宋体" w:asciiTheme="minorEastAsia" w:hAnsiTheme="minorEastAsia" w:eastAsiaTheme="minorEastAsia"/>
          <w:bCs/>
          <w:sz w:val="21"/>
          <w:szCs w:val="21"/>
        </w:rPr>
        <w:t>3、投标人所投热水、直饮水、洗衣机、空调等设备必须是国内知名品牌。4、热水机、直饮水、洗衣机、空调需提供厂家营业执照复印件。</w:t>
      </w:r>
    </w:p>
    <w:p>
      <w:pPr>
        <w:pStyle w:val="5"/>
        <w:topLinePunct/>
        <w:autoSpaceDE w:val="0"/>
        <w:autoSpaceDN w:val="0"/>
        <w:adjustRightInd w:val="0"/>
        <w:snapToGrid w:val="0"/>
        <w:spacing w:line="360" w:lineRule="auto"/>
        <w:ind w:firstLine="422" w:firstLineChars="200"/>
        <w:textAlignment w:val="baseline"/>
        <w:rPr>
          <w:rFonts w:cs="仿宋" w:asciiTheme="minorEastAsia" w:hAnsiTheme="minorEastAsia" w:eastAsiaTheme="minorEastAsia"/>
          <w:bCs/>
          <w:snapToGrid w:val="0"/>
          <w:sz w:val="21"/>
          <w:szCs w:val="21"/>
        </w:rPr>
      </w:pPr>
      <w:r>
        <w:rPr>
          <w:rFonts w:hint="eastAsia" w:cs="仿宋" w:asciiTheme="minorEastAsia" w:hAnsiTheme="minorEastAsia" w:eastAsiaTheme="minorEastAsia"/>
          <w:b/>
          <w:snapToGrid w:val="0"/>
          <w:sz w:val="21"/>
          <w:szCs w:val="21"/>
        </w:rPr>
        <w:t>四、项目建设要求及说明</w:t>
      </w:r>
    </w:p>
    <w:p>
      <w:pPr>
        <w:pStyle w:val="5"/>
        <w:topLinePunct/>
        <w:autoSpaceDE w:val="0"/>
        <w:autoSpaceDN w:val="0"/>
        <w:adjustRightInd w:val="0"/>
        <w:snapToGrid w:val="0"/>
        <w:spacing w:line="360" w:lineRule="auto"/>
        <w:ind w:firstLine="420" w:firstLineChars="200"/>
        <w:textAlignment w:val="baseline"/>
        <w:rPr>
          <w:rFonts w:cs="仿宋" w:asciiTheme="minorEastAsia" w:hAnsiTheme="minorEastAsia" w:eastAsiaTheme="minorEastAsia"/>
          <w:bCs/>
          <w:snapToGrid w:val="0"/>
          <w:sz w:val="21"/>
          <w:szCs w:val="21"/>
        </w:rPr>
      </w:pPr>
      <w:r>
        <w:rPr>
          <w:rFonts w:hint="eastAsia" w:cs="仿宋" w:asciiTheme="minorEastAsia" w:hAnsiTheme="minorEastAsia" w:eastAsiaTheme="minorEastAsia"/>
          <w:bCs/>
          <w:snapToGrid w:val="0"/>
          <w:sz w:val="21"/>
          <w:szCs w:val="21"/>
        </w:rPr>
        <w:t>1.安装调试</w:t>
      </w:r>
    </w:p>
    <w:p>
      <w:pPr>
        <w:pStyle w:val="5"/>
        <w:topLinePunct/>
        <w:autoSpaceDE w:val="0"/>
        <w:autoSpaceDN w:val="0"/>
        <w:adjustRightInd w:val="0"/>
        <w:snapToGrid w:val="0"/>
        <w:spacing w:line="360" w:lineRule="auto"/>
        <w:ind w:firstLine="420" w:firstLineChars="200"/>
        <w:textAlignment w:val="baseline"/>
        <w:rPr>
          <w:rFonts w:cs="仿宋" w:asciiTheme="minorEastAsia" w:hAnsiTheme="minorEastAsia" w:eastAsiaTheme="minorEastAsia"/>
          <w:bCs/>
          <w:snapToGrid w:val="0"/>
          <w:sz w:val="21"/>
          <w:szCs w:val="21"/>
        </w:rPr>
      </w:pPr>
      <w:r>
        <w:rPr>
          <w:rFonts w:hint="eastAsia" w:cs="仿宋" w:asciiTheme="minorEastAsia" w:hAnsiTheme="minorEastAsia" w:eastAsiaTheme="minorEastAsia"/>
          <w:bCs/>
          <w:snapToGrid w:val="0"/>
          <w:sz w:val="21"/>
          <w:szCs w:val="21"/>
        </w:rPr>
        <w:t>1.1投资方须加强施工的组织管理，所有施工人员须遵守文明安全施工的有关规章制度，持证上岗。</w:t>
      </w:r>
    </w:p>
    <w:p>
      <w:pPr>
        <w:pStyle w:val="5"/>
        <w:topLinePunct/>
        <w:autoSpaceDE w:val="0"/>
        <w:autoSpaceDN w:val="0"/>
        <w:adjustRightInd w:val="0"/>
        <w:snapToGrid w:val="0"/>
        <w:spacing w:line="360" w:lineRule="auto"/>
        <w:ind w:firstLine="420" w:firstLineChars="200"/>
        <w:textAlignment w:val="baseline"/>
        <w:rPr>
          <w:rFonts w:cs="仿宋" w:asciiTheme="minorEastAsia" w:hAnsiTheme="minorEastAsia" w:eastAsiaTheme="minorEastAsia"/>
          <w:bCs/>
          <w:snapToGrid w:val="0"/>
          <w:sz w:val="21"/>
          <w:szCs w:val="21"/>
        </w:rPr>
      </w:pPr>
      <w:r>
        <w:rPr>
          <w:rFonts w:hint="eastAsia" w:cs="仿宋" w:asciiTheme="minorEastAsia" w:hAnsiTheme="minorEastAsia" w:eastAsiaTheme="minorEastAsia"/>
          <w:bCs/>
          <w:snapToGrid w:val="0"/>
          <w:sz w:val="21"/>
          <w:szCs w:val="21"/>
        </w:rPr>
        <w:t>1.2项目完成后，投资方应将项目有关的全部资料，包括产品资料、技术文档、施工图纸等，移交学院。</w:t>
      </w:r>
    </w:p>
    <w:p>
      <w:pPr>
        <w:pStyle w:val="5"/>
        <w:topLinePunct/>
        <w:autoSpaceDE w:val="0"/>
        <w:autoSpaceDN w:val="0"/>
        <w:adjustRightInd w:val="0"/>
        <w:snapToGrid w:val="0"/>
        <w:spacing w:line="360" w:lineRule="auto"/>
        <w:ind w:firstLine="420" w:firstLineChars="200"/>
        <w:textAlignment w:val="baseline"/>
        <w:rPr>
          <w:rFonts w:cs="仿宋" w:asciiTheme="minorEastAsia" w:hAnsiTheme="minorEastAsia" w:eastAsiaTheme="minorEastAsia"/>
          <w:bCs/>
          <w:snapToGrid w:val="0"/>
          <w:sz w:val="21"/>
          <w:szCs w:val="21"/>
        </w:rPr>
      </w:pPr>
      <w:r>
        <w:rPr>
          <w:rFonts w:hint="eastAsia" w:cs="仿宋" w:asciiTheme="minorEastAsia" w:hAnsiTheme="minorEastAsia" w:eastAsiaTheme="minorEastAsia"/>
          <w:bCs/>
          <w:snapToGrid w:val="0"/>
          <w:sz w:val="21"/>
          <w:szCs w:val="21"/>
        </w:rPr>
        <w:t>2.测试验收</w:t>
      </w:r>
    </w:p>
    <w:p>
      <w:pPr>
        <w:pStyle w:val="5"/>
        <w:topLinePunct/>
        <w:autoSpaceDE w:val="0"/>
        <w:autoSpaceDN w:val="0"/>
        <w:adjustRightInd w:val="0"/>
        <w:snapToGrid w:val="0"/>
        <w:spacing w:line="360" w:lineRule="auto"/>
        <w:ind w:firstLine="420" w:firstLineChars="200"/>
        <w:textAlignment w:val="baseline"/>
        <w:rPr>
          <w:rFonts w:cs="仿宋" w:asciiTheme="minorEastAsia" w:hAnsiTheme="minorEastAsia" w:eastAsiaTheme="minorEastAsia"/>
          <w:bCs/>
          <w:snapToGrid w:val="0"/>
          <w:sz w:val="21"/>
          <w:szCs w:val="21"/>
        </w:rPr>
      </w:pPr>
      <w:r>
        <w:rPr>
          <w:rFonts w:hint="eastAsia" w:cs="仿宋" w:asciiTheme="minorEastAsia" w:hAnsiTheme="minorEastAsia" w:eastAsiaTheme="minorEastAsia"/>
          <w:bCs/>
          <w:snapToGrid w:val="0"/>
          <w:sz w:val="21"/>
          <w:szCs w:val="21"/>
        </w:rPr>
        <w:t>2.1项目验收国家有强制性规定的，按国家规定执行，验收费用由投资方承担。</w:t>
      </w:r>
    </w:p>
    <w:p>
      <w:pPr>
        <w:pStyle w:val="5"/>
        <w:topLinePunct/>
        <w:autoSpaceDE w:val="0"/>
        <w:autoSpaceDN w:val="0"/>
        <w:adjustRightInd w:val="0"/>
        <w:snapToGrid w:val="0"/>
        <w:spacing w:line="360" w:lineRule="auto"/>
        <w:ind w:firstLine="420" w:firstLineChars="200"/>
        <w:textAlignment w:val="baseline"/>
        <w:rPr>
          <w:rFonts w:cs="仿宋" w:asciiTheme="minorEastAsia" w:hAnsiTheme="minorEastAsia" w:eastAsiaTheme="minorEastAsia"/>
          <w:bCs/>
          <w:snapToGrid w:val="0"/>
          <w:sz w:val="21"/>
          <w:szCs w:val="21"/>
        </w:rPr>
      </w:pPr>
      <w:r>
        <w:rPr>
          <w:rFonts w:hint="eastAsia" w:cs="仿宋" w:asciiTheme="minorEastAsia" w:hAnsiTheme="minorEastAsia" w:eastAsiaTheme="minorEastAsia"/>
          <w:bCs/>
          <w:snapToGrid w:val="0"/>
          <w:sz w:val="21"/>
          <w:szCs w:val="21"/>
        </w:rPr>
        <w:t>2.2验收过程中产生纠纷的，由质量技术监督部门认定的检测机构检测,如为投标方原因造成的，由投资方承担检测费用；否则，由校方承担。</w:t>
      </w:r>
    </w:p>
    <w:p>
      <w:pPr>
        <w:pStyle w:val="5"/>
        <w:topLinePunct/>
        <w:autoSpaceDE w:val="0"/>
        <w:autoSpaceDN w:val="0"/>
        <w:adjustRightInd w:val="0"/>
        <w:snapToGrid w:val="0"/>
        <w:spacing w:line="360" w:lineRule="auto"/>
        <w:ind w:firstLine="420" w:firstLineChars="200"/>
        <w:textAlignment w:val="baseline"/>
        <w:rPr>
          <w:rFonts w:cs="仿宋" w:asciiTheme="minorEastAsia" w:hAnsiTheme="minorEastAsia" w:eastAsiaTheme="minorEastAsia"/>
          <w:bCs/>
          <w:snapToGrid w:val="0"/>
          <w:sz w:val="21"/>
          <w:szCs w:val="21"/>
        </w:rPr>
      </w:pPr>
      <w:r>
        <w:rPr>
          <w:rFonts w:hint="eastAsia" w:cs="仿宋" w:asciiTheme="minorEastAsia" w:hAnsiTheme="minorEastAsia" w:eastAsiaTheme="minorEastAsia"/>
          <w:bCs/>
          <w:snapToGrid w:val="0"/>
          <w:sz w:val="21"/>
          <w:szCs w:val="21"/>
        </w:rPr>
        <w:t>2.3项目验收不合格，由投标方返工直至合格，有关返工、再行验收，以及给校方造成的损失等费用由投标方承担。连续两次项目验收不合格的，校方可终止合同，另行按规定选择其他供应商，由此带来的一切损失由投资方承担。</w:t>
      </w:r>
    </w:p>
    <w:p>
      <w:pPr>
        <w:pStyle w:val="5"/>
        <w:topLinePunct/>
        <w:autoSpaceDE w:val="0"/>
        <w:autoSpaceDN w:val="0"/>
        <w:adjustRightInd w:val="0"/>
        <w:snapToGrid w:val="0"/>
        <w:spacing w:line="360" w:lineRule="auto"/>
        <w:ind w:firstLine="420" w:firstLineChars="200"/>
        <w:textAlignment w:val="baseline"/>
        <w:rPr>
          <w:rFonts w:cs="仿宋" w:asciiTheme="minorEastAsia" w:hAnsiTheme="minorEastAsia" w:eastAsiaTheme="minorEastAsia"/>
          <w:bCs/>
          <w:snapToGrid w:val="0"/>
          <w:sz w:val="21"/>
          <w:szCs w:val="21"/>
        </w:rPr>
      </w:pPr>
      <w:r>
        <w:rPr>
          <w:rFonts w:hint="eastAsia" w:cs="仿宋" w:asciiTheme="minorEastAsia" w:hAnsiTheme="minorEastAsia" w:eastAsiaTheme="minorEastAsia"/>
          <w:bCs/>
          <w:snapToGrid w:val="0"/>
          <w:sz w:val="21"/>
          <w:szCs w:val="21"/>
        </w:rPr>
        <w:t>3.质量保证</w:t>
      </w:r>
    </w:p>
    <w:p>
      <w:pPr>
        <w:pStyle w:val="5"/>
        <w:topLinePunct/>
        <w:autoSpaceDE w:val="0"/>
        <w:autoSpaceDN w:val="0"/>
        <w:adjustRightInd w:val="0"/>
        <w:snapToGrid w:val="0"/>
        <w:spacing w:line="360" w:lineRule="auto"/>
        <w:ind w:firstLine="420" w:firstLineChars="200"/>
        <w:textAlignment w:val="baseline"/>
        <w:rPr>
          <w:rFonts w:cs="仿宋" w:asciiTheme="minorEastAsia" w:hAnsiTheme="minorEastAsia" w:eastAsiaTheme="minorEastAsia"/>
          <w:bCs/>
          <w:snapToGrid w:val="0"/>
          <w:sz w:val="21"/>
          <w:szCs w:val="21"/>
        </w:rPr>
      </w:pPr>
      <w:r>
        <w:rPr>
          <w:rFonts w:hint="eastAsia" w:cs="仿宋" w:asciiTheme="minorEastAsia" w:hAnsiTheme="minorEastAsia" w:eastAsiaTheme="minorEastAsia"/>
          <w:bCs/>
          <w:snapToGrid w:val="0"/>
          <w:sz w:val="21"/>
          <w:szCs w:val="21"/>
        </w:rPr>
        <w:t>3.1投标方提供的产品应是原装正品，符合国家质量检测标准，具有出厂合格证或国家鉴定合格证。</w:t>
      </w:r>
    </w:p>
    <w:p>
      <w:pPr>
        <w:pStyle w:val="5"/>
        <w:topLinePunct/>
        <w:autoSpaceDE w:val="0"/>
        <w:autoSpaceDN w:val="0"/>
        <w:adjustRightInd w:val="0"/>
        <w:snapToGrid w:val="0"/>
        <w:spacing w:line="360" w:lineRule="auto"/>
        <w:ind w:firstLine="420" w:firstLineChars="200"/>
        <w:textAlignment w:val="baseline"/>
        <w:rPr>
          <w:rFonts w:cs="仿宋" w:asciiTheme="minorEastAsia" w:hAnsiTheme="minorEastAsia" w:eastAsiaTheme="minorEastAsia"/>
          <w:bCs/>
          <w:snapToGrid w:val="0"/>
          <w:sz w:val="21"/>
          <w:szCs w:val="21"/>
        </w:rPr>
      </w:pPr>
      <w:r>
        <w:rPr>
          <w:rFonts w:hint="eastAsia" w:cs="仿宋" w:asciiTheme="minorEastAsia" w:hAnsiTheme="minorEastAsia" w:eastAsiaTheme="minorEastAsia"/>
          <w:bCs/>
          <w:snapToGrid w:val="0"/>
          <w:sz w:val="21"/>
          <w:szCs w:val="21"/>
        </w:rPr>
        <w:t>4.售后服务</w:t>
      </w:r>
    </w:p>
    <w:p>
      <w:pPr>
        <w:pStyle w:val="5"/>
        <w:topLinePunct/>
        <w:autoSpaceDE w:val="0"/>
        <w:autoSpaceDN w:val="0"/>
        <w:adjustRightInd w:val="0"/>
        <w:snapToGrid w:val="0"/>
        <w:spacing w:line="360" w:lineRule="auto"/>
        <w:ind w:firstLine="420" w:firstLineChars="200"/>
        <w:textAlignment w:val="baseline"/>
        <w:rPr>
          <w:rFonts w:cs="仿宋" w:asciiTheme="minorEastAsia" w:hAnsiTheme="minorEastAsia" w:eastAsiaTheme="minorEastAsia"/>
          <w:bCs/>
          <w:snapToGrid w:val="0"/>
          <w:sz w:val="21"/>
          <w:szCs w:val="21"/>
        </w:rPr>
      </w:pPr>
      <w:r>
        <w:rPr>
          <w:rFonts w:hint="eastAsia" w:cs="仿宋" w:asciiTheme="minorEastAsia" w:hAnsiTheme="minorEastAsia" w:eastAsiaTheme="minorEastAsia"/>
          <w:bCs/>
          <w:snapToGrid w:val="0"/>
          <w:sz w:val="21"/>
          <w:szCs w:val="21"/>
        </w:rPr>
        <w:t>4.1 系统维护</w:t>
      </w:r>
    </w:p>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21"/>
          <w:szCs w:val="21"/>
        </w:rPr>
      </w:pPr>
      <w:r>
        <w:rPr>
          <w:rFonts w:hint="eastAsia" w:cs="仿宋" w:asciiTheme="minorEastAsia" w:hAnsiTheme="minorEastAsia" w:eastAsiaTheme="minorEastAsia"/>
          <w:bCs/>
          <w:snapToGrid w:val="0"/>
          <w:sz w:val="21"/>
          <w:szCs w:val="21"/>
        </w:rPr>
        <w:t xml:space="preserve">      1）定期维护计划。</w:t>
      </w:r>
    </w:p>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21"/>
          <w:szCs w:val="21"/>
        </w:rPr>
      </w:pPr>
      <w:r>
        <w:rPr>
          <w:rFonts w:hint="eastAsia" w:cs="仿宋" w:asciiTheme="minorEastAsia" w:hAnsiTheme="minorEastAsia" w:eastAsiaTheme="minorEastAsia"/>
          <w:bCs/>
          <w:snapToGrid w:val="0"/>
          <w:sz w:val="21"/>
          <w:szCs w:val="21"/>
        </w:rPr>
        <w:t xml:space="preserve">      2）对校方不定期维护要求的响应措施。</w:t>
      </w:r>
    </w:p>
    <w:p>
      <w:pPr>
        <w:pStyle w:val="5"/>
        <w:topLinePunct/>
        <w:autoSpaceDE w:val="0"/>
        <w:autoSpaceDN w:val="0"/>
        <w:adjustRightInd w:val="0"/>
        <w:snapToGrid w:val="0"/>
        <w:spacing w:line="360" w:lineRule="auto"/>
        <w:ind w:firstLine="420" w:firstLineChars="200"/>
        <w:textAlignment w:val="baseline"/>
        <w:rPr>
          <w:rFonts w:cs="仿宋" w:asciiTheme="minorEastAsia" w:hAnsiTheme="minorEastAsia" w:eastAsiaTheme="minorEastAsia"/>
          <w:bCs/>
          <w:snapToGrid w:val="0"/>
          <w:sz w:val="21"/>
          <w:szCs w:val="21"/>
        </w:rPr>
      </w:pPr>
      <w:r>
        <w:rPr>
          <w:rFonts w:hint="eastAsia" w:cs="仿宋" w:asciiTheme="minorEastAsia" w:hAnsiTheme="minorEastAsia" w:eastAsiaTheme="minorEastAsia"/>
          <w:bCs/>
          <w:snapToGrid w:val="0"/>
          <w:sz w:val="21"/>
          <w:szCs w:val="21"/>
        </w:rPr>
        <w:t>4.2技术支持</w:t>
      </w:r>
    </w:p>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21"/>
          <w:szCs w:val="21"/>
        </w:rPr>
      </w:pPr>
      <w:r>
        <w:rPr>
          <w:rFonts w:hint="eastAsia" w:cs="仿宋" w:asciiTheme="minorEastAsia" w:hAnsiTheme="minorEastAsia" w:eastAsiaTheme="minorEastAsia"/>
          <w:bCs/>
          <w:snapToGrid w:val="0"/>
          <w:sz w:val="21"/>
          <w:szCs w:val="21"/>
        </w:rPr>
        <w:t xml:space="preserve">      1）提供7×24小时的技术咨询服务。</w:t>
      </w:r>
    </w:p>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21"/>
          <w:szCs w:val="21"/>
        </w:rPr>
      </w:pPr>
      <w:r>
        <w:rPr>
          <w:rFonts w:hint="eastAsia" w:cs="仿宋" w:asciiTheme="minorEastAsia" w:hAnsiTheme="minorEastAsia" w:eastAsiaTheme="minorEastAsia"/>
          <w:bCs/>
          <w:snapToGrid w:val="0"/>
          <w:sz w:val="21"/>
          <w:szCs w:val="21"/>
        </w:rPr>
        <w:t xml:space="preserve">      2）敏感时期、重大节假日提供技术人员值守服务。</w:t>
      </w:r>
    </w:p>
    <w:p>
      <w:pPr>
        <w:pStyle w:val="5"/>
        <w:topLinePunct/>
        <w:autoSpaceDE w:val="0"/>
        <w:autoSpaceDN w:val="0"/>
        <w:adjustRightInd w:val="0"/>
        <w:snapToGrid w:val="0"/>
        <w:spacing w:line="360" w:lineRule="auto"/>
        <w:ind w:firstLine="420" w:firstLineChars="200"/>
        <w:textAlignment w:val="baseline"/>
        <w:rPr>
          <w:rFonts w:cs="仿宋" w:asciiTheme="minorEastAsia" w:hAnsiTheme="minorEastAsia" w:eastAsiaTheme="minorEastAsia"/>
          <w:bCs/>
          <w:snapToGrid w:val="0"/>
          <w:sz w:val="21"/>
          <w:szCs w:val="21"/>
        </w:rPr>
      </w:pPr>
      <w:r>
        <w:rPr>
          <w:rFonts w:hint="eastAsia" w:cs="仿宋" w:asciiTheme="minorEastAsia" w:hAnsiTheme="minorEastAsia" w:eastAsiaTheme="minorEastAsia"/>
          <w:bCs/>
          <w:snapToGrid w:val="0"/>
          <w:sz w:val="21"/>
          <w:szCs w:val="21"/>
        </w:rPr>
        <w:t>4.3故障响应</w:t>
      </w:r>
    </w:p>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21"/>
          <w:szCs w:val="21"/>
        </w:rPr>
      </w:pPr>
      <w:r>
        <w:rPr>
          <w:rFonts w:hint="eastAsia" w:cs="仿宋" w:asciiTheme="minorEastAsia" w:hAnsiTheme="minorEastAsia" w:eastAsiaTheme="minorEastAsia"/>
          <w:bCs/>
          <w:snapToGrid w:val="0"/>
          <w:sz w:val="21"/>
          <w:szCs w:val="21"/>
        </w:rPr>
        <w:t xml:space="preserve">      1）提供7×24小时的故障服务受理。</w:t>
      </w:r>
    </w:p>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21"/>
          <w:szCs w:val="21"/>
        </w:rPr>
      </w:pPr>
      <w:r>
        <w:rPr>
          <w:rFonts w:hint="eastAsia" w:cs="仿宋" w:asciiTheme="minorEastAsia" w:hAnsiTheme="minorEastAsia" w:eastAsiaTheme="minorEastAsia"/>
          <w:bCs/>
          <w:snapToGrid w:val="0"/>
          <w:sz w:val="21"/>
          <w:szCs w:val="21"/>
        </w:rPr>
        <w:t xml:space="preserve">      2）对重大故障提供7×24小时的现场支援，一般故障提供5×8小时的现场支援。</w:t>
      </w:r>
    </w:p>
    <w:p>
      <w:pPr>
        <w:pStyle w:val="5"/>
        <w:topLinePunct/>
        <w:autoSpaceDE w:val="0"/>
        <w:autoSpaceDN w:val="0"/>
        <w:adjustRightInd w:val="0"/>
        <w:snapToGrid w:val="0"/>
        <w:spacing w:line="360" w:lineRule="auto"/>
        <w:textAlignment w:val="baseline"/>
        <w:rPr>
          <w:rFonts w:cs="仿宋" w:asciiTheme="minorEastAsia" w:hAnsiTheme="minorEastAsia" w:eastAsiaTheme="minorEastAsia"/>
          <w:bCs/>
          <w:snapToGrid w:val="0"/>
          <w:sz w:val="21"/>
          <w:szCs w:val="21"/>
        </w:rPr>
      </w:pPr>
      <w:r>
        <w:rPr>
          <w:rFonts w:hint="eastAsia" w:cs="仿宋" w:asciiTheme="minorEastAsia" w:hAnsiTheme="minorEastAsia" w:eastAsiaTheme="minorEastAsia"/>
          <w:bCs/>
          <w:snapToGrid w:val="0"/>
          <w:sz w:val="21"/>
          <w:szCs w:val="21"/>
        </w:rPr>
        <w:t xml:space="preserve">      3）备件服务：遇到重大故障，提供系统所需更换的任何备件。</w:t>
      </w:r>
    </w:p>
    <w:p>
      <w:pPr>
        <w:pStyle w:val="5"/>
        <w:topLinePunct/>
        <w:autoSpaceDE w:val="0"/>
        <w:autoSpaceDN w:val="0"/>
        <w:adjustRightInd w:val="0"/>
        <w:snapToGrid w:val="0"/>
        <w:spacing w:line="360" w:lineRule="auto"/>
        <w:ind w:firstLine="420" w:firstLineChars="200"/>
        <w:textAlignment w:val="baseline"/>
        <w:rPr>
          <w:rFonts w:cs="仿宋" w:asciiTheme="minorEastAsia" w:hAnsiTheme="minorEastAsia" w:eastAsiaTheme="minorEastAsia"/>
          <w:bCs/>
          <w:snapToGrid w:val="0"/>
          <w:sz w:val="21"/>
          <w:szCs w:val="21"/>
        </w:rPr>
      </w:pPr>
      <w:r>
        <w:rPr>
          <w:rFonts w:hint="eastAsia" w:cs="仿宋" w:asciiTheme="minorEastAsia" w:hAnsiTheme="minorEastAsia" w:eastAsiaTheme="minorEastAsia"/>
          <w:bCs/>
          <w:snapToGrid w:val="0"/>
          <w:sz w:val="21"/>
          <w:szCs w:val="21"/>
        </w:rPr>
        <w:t>4.4合同期内出现任何质量问题由投资方负责全免费更换或维修。合同期满后，无论校方是否另行选择维保供应商，投资方应及时优惠提供所需的备品备件。</w:t>
      </w:r>
    </w:p>
    <w:p>
      <w:pPr>
        <w:pStyle w:val="5"/>
        <w:topLinePunct/>
        <w:autoSpaceDE w:val="0"/>
        <w:autoSpaceDN w:val="0"/>
        <w:adjustRightInd w:val="0"/>
        <w:snapToGrid w:val="0"/>
        <w:spacing w:line="360" w:lineRule="auto"/>
        <w:ind w:firstLine="422" w:firstLineChars="200"/>
        <w:textAlignment w:val="baseline"/>
        <w:rPr>
          <w:rFonts w:cs="仿宋" w:asciiTheme="minorEastAsia" w:hAnsiTheme="minorEastAsia" w:eastAsiaTheme="minorEastAsia"/>
          <w:bCs/>
          <w:snapToGrid w:val="0"/>
          <w:sz w:val="21"/>
          <w:szCs w:val="21"/>
        </w:rPr>
      </w:pPr>
      <w:bookmarkStart w:id="0" w:name="_Toc345161773"/>
      <w:bookmarkStart w:id="1" w:name="_Toc227423936"/>
      <w:bookmarkStart w:id="2" w:name="_Toc28146"/>
      <w:bookmarkStart w:id="3" w:name="_Toc266608147"/>
      <w:bookmarkStart w:id="4" w:name="_Toc268624905"/>
      <w:r>
        <w:rPr>
          <w:rFonts w:hint="eastAsia" w:cs="仿宋" w:asciiTheme="minorEastAsia" w:hAnsiTheme="minorEastAsia" w:eastAsiaTheme="minorEastAsia"/>
          <w:b/>
          <w:snapToGrid w:val="0"/>
          <w:sz w:val="21"/>
          <w:szCs w:val="21"/>
        </w:rPr>
        <w:t>五、其他要求及说明</w:t>
      </w:r>
      <w:bookmarkEnd w:id="0"/>
      <w:bookmarkEnd w:id="1"/>
      <w:bookmarkEnd w:id="2"/>
      <w:bookmarkEnd w:id="3"/>
      <w:bookmarkEnd w:id="4"/>
    </w:p>
    <w:p>
      <w:pPr>
        <w:pStyle w:val="5"/>
        <w:topLinePunct/>
        <w:autoSpaceDE w:val="0"/>
        <w:autoSpaceDN w:val="0"/>
        <w:adjustRightInd w:val="0"/>
        <w:snapToGrid w:val="0"/>
        <w:spacing w:line="360" w:lineRule="auto"/>
        <w:ind w:firstLine="420" w:firstLineChars="200"/>
        <w:textAlignment w:val="baseline"/>
        <w:rPr>
          <w:rFonts w:cs="仿宋" w:asciiTheme="minorEastAsia" w:hAnsiTheme="minorEastAsia" w:eastAsiaTheme="minorEastAsia"/>
          <w:bCs/>
          <w:snapToGrid w:val="0"/>
          <w:sz w:val="21"/>
          <w:szCs w:val="21"/>
        </w:rPr>
      </w:pPr>
      <w:r>
        <w:rPr>
          <w:rFonts w:hint="eastAsia" w:cs="仿宋" w:asciiTheme="minorEastAsia" w:hAnsiTheme="minorEastAsia" w:eastAsiaTheme="minorEastAsia"/>
          <w:bCs/>
          <w:snapToGrid w:val="0"/>
          <w:sz w:val="21"/>
          <w:szCs w:val="21"/>
        </w:rPr>
        <w:t>1、交货时间及地点</w:t>
      </w:r>
    </w:p>
    <w:p>
      <w:pPr>
        <w:pStyle w:val="5"/>
        <w:topLinePunct/>
        <w:autoSpaceDE w:val="0"/>
        <w:autoSpaceDN w:val="0"/>
        <w:adjustRightInd w:val="0"/>
        <w:snapToGrid w:val="0"/>
        <w:spacing w:line="360" w:lineRule="auto"/>
        <w:ind w:firstLine="420" w:firstLineChars="200"/>
        <w:textAlignment w:val="baseline"/>
        <w:rPr>
          <w:rFonts w:cs="仿宋" w:asciiTheme="minorEastAsia" w:hAnsiTheme="minorEastAsia" w:eastAsiaTheme="minorEastAsia"/>
          <w:bCs/>
          <w:snapToGrid w:val="0"/>
          <w:sz w:val="21"/>
          <w:szCs w:val="21"/>
        </w:rPr>
      </w:pPr>
      <w:r>
        <w:rPr>
          <w:rFonts w:hint="eastAsia" w:cs="仿宋" w:asciiTheme="minorEastAsia" w:hAnsiTheme="minorEastAsia" w:eastAsiaTheme="minorEastAsia"/>
          <w:bCs/>
          <w:snapToGrid w:val="0"/>
          <w:sz w:val="21"/>
          <w:szCs w:val="21"/>
        </w:rPr>
        <w:t>交货时间：根据实际情况报出最快时间安排。</w:t>
      </w:r>
    </w:p>
    <w:p>
      <w:pPr>
        <w:pStyle w:val="5"/>
        <w:topLinePunct/>
        <w:autoSpaceDE w:val="0"/>
        <w:autoSpaceDN w:val="0"/>
        <w:adjustRightInd w:val="0"/>
        <w:snapToGrid w:val="0"/>
        <w:spacing w:line="360" w:lineRule="auto"/>
        <w:ind w:firstLine="420" w:firstLineChars="200"/>
        <w:textAlignment w:val="baseline"/>
        <w:rPr>
          <w:rFonts w:cs="仿宋" w:asciiTheme="minorEastAsia" w:hAnsiTheme="minorEastAsia" w:eastAsiaTheme="minorEastAsia"/>
          <w:bCs/>
          <w:snapToGrid w:val="0"/>
          <w:sz w:val="21"/>
          <w:szCs w:val="21"/>
        </w:rPr>
      </w:pPr>
      <w:r>
        <w:rPr>
          <w:rFonts w:hint="eastAsia" w:cs="仿宋" w:asciiTheme="minorEastAsia" w:hAnsiTheme="minorEastAsia" w:eastAsiaTheme="minorEastAsia"/>
          <w:bCs/>
          <w:snapToGrid w:val="0"/>
          <w:sz w:val="21"/>
          <w:szCs w:val="21"/>
        </w:rPr>
        <w:t>交货地点：湖南财政经济学院指定地点。</w:t>
      </w:r>
    </w:p>
    <w:p>
      <w:pPr>
        <w:pStyle w:val="5"/>
        <w:topLinePunct/>
        <w:autoSpaceDE w:val="0"/>
        <w:autoSpaceDN w:val="0"/>
        <w:adjustRightInd w:val="0"/>
        <w:snapToGrid w:val="0"/>
        <w:spacing w:line="360" w:lineRule="auto"/>
        <w:ind w:firstLine="420" w:firstLineChars="200"/>
        <w:textAlignment w:val="baseline"/>
        <w:rPr>
          <w:rFonts w:cs="仿宋" w:asciiTheme="minorEastAsia" w:hAnsiTheme="minorEastAsia" w:eastAsiaTheme="minorEastAsia"/>
          <w:bCs/>
          <w:snapToGrid w:val="0"/>
          <w:sz w:val="21"/>
          <w:szCs w:val="21"/>
        </w:rPr>
      </w:pPr>
      <w:r>
        <w:rPr>
          <w:rFonts w:hint="eastAsia" w:cs="仿宋" w:asciiTheme="minorEastAsia" w:hAnsiTheme="minorEastAsia" w:eastAsiaTheme="minorEastAsia"/>
          <w:bCs/>
          <w:snapToGrid w:val="0"/>
          <w:sz w:val="21"/>
          <w:szCs w:val="21"/>
        </w:rPr>
        <w:t>2、投资人在递交投标文件前，须踏勘现场，有关费用自理，踏勘期间发生的意外自负。</w:t>
      </w:r>
    </w:p>
    <w:p>
      <w:pPr>
        <w:pStyle w:val="5"/>
        <w:topLinePunct/>
        <w:autoSpaceDE w:val="0"/>
        <w:autoSpaceDN w:val="0"/>
        <w:adjustRightInd w:val="0"/>
        <w:snapToGrid w:val="0"/>
        <w:spacing w:line="360" w:lineRule="auto"/>
        <w:ind w:firstLine="420" w:firstLineChars="200"/>
        <w:textAlignment w:val="baseline"/>
        <w:rPr>
          <w:rFonts w:cs="仿宋" w:asciiTheme="minorEastAsia" w:hAnsiTheme="minorEastAsia" w:eastAsiaTheme="minorEastAsia"/>
          <w:bCs/>
          <w:snapToGrid w:val="0"/>
          <w:sz w:val="21"/>
          <w:szCs w:val="21"/>
        </w:rPr>
      </w:pPr>
      <w:r>
        <w:rPr>
          <w:rFonts w:hint="eastAsia" w:cs="仿宋" w:asciiTheme="minorEastAsia" w:hAnsiTheme="minorEastAsia" w:eastAsiaTheme="minorEastAsia"/>
          <w:bCs/>
          <w:snapToGrid w:val="0"/>
          <w:sz w:val="21"/>
          <w:szCs w:val="21"/>
        </w:rPr>
        <w:t>3、学校不承担任何关于建筑和设备安装的违规带来行政处分和经济处罚。不承担任何因该项目安全生产事故而带来的责任和赔偿。</w:t>
      </w:r>
    </w:p>
    <w:p>
      <w:pPr>
        <w:pStyle w:val="5"/>
        <w:topLinePunct/>
        <w:autoSpaceDE w:val="0"/>
        <w:autoSpaceDN w:val="0"/>
        <w:adjustRightInd w:val="0"/>
        <w:snapToGrid w:val="0"/>
        <w:spacing w:line="360" w:lineRule="auto"/>
        <w:ind w:firstLine="420" w:firstLineChars="200"/>
        <w:textAlignment w:val="baseline"/>
        <w:rPr>
          <w:rFonts w:cs="仿宋" w:asciiTheme="minorEastAsia" w:hAnsiTheme="minorEastAsia" w:eastAsiaTheme="minorEastAsia"/>
          <w:bCs/>
          <w:snapToGrid w:val="0"/>
          <w:sz w:val="21"/>
          <w:szCs w:val="21"/>
        </w:rPr>
      </w:pPr>
      <w:r>
        <w:rPr>
          <w:rFonts w:hint="eastAsia" w:cs="仿宋" w:asciiTheme="minorEastAsia" w:hAnsiTheme="minorEastAsia" w:eastAsiaTheme="minorEastAsia"/>
          <w:bCs/>
          <w:snapToGrid w:val="0"/>
          <w:sz w:val="21"/>
          <w:szCs w:val="21"/>
        </w:rPr>
        <w:t>4、由投标方聘请管理员负责生活热水、直饮水、洗衣机、空调系统的管理，要遵守学校各项制度，聘请维修人员及时、定期技术维修，维修临界点由学校和投资方在合同中明确。</w:t>
      </w:r>
    </w:p>
    <w:p>
      <w:pPr>
        <w:pStyle w:val="5"/>
        <w:topLinePunct/>
        <w:autoSpaceDE w:val="0"/>
        <w:autoSpaceDN w:val="0"/>
        <w:adjustRightInd w:val="0"/>
        <w:snapToGrid w:val="0"/>
        <w:spacing w:line="360" w:lineRule="auto"/>
        <w:ind w:firstLine="420" w:firstLineChars="200"/>
        <w:textAlignment w:val="baseline"/>
        <w:rPr>
          <w:rFonts w:cs="仿宋" w:asciiTheme="minorEastAsia" w:hAnsiTheme="minorEastAsia" w:eastAsiaTheme="minorEastAsia"/>
          <w:bCs/>
          <w:snapToGrid w:val="0"/>
          <w:sz w:val="21"/>
          <w:szCs w:val="21"/>
        </w:rPr>
      </w:pPr>
      <w:r>
        <w:rPr>
          <w:rFonts w:hint="eastAsia" w:cs="仿宋" w:asciiTheme="minorEastAsia" w:hAnsiTheme="minorEastAsia" w:eastAsiaTheme="minorEastAsia"/>
          <w:bCs/>
          <w:snapToGrid w:val="0"/>
          <w:sz w:val="21"/>
          <w:szCs w:val="21"/>
        </w:rPr>
        <w:t>5、合作模式:投标方应按国家有关法律法规及政策要求,对该项目全额投资建设,在项目策划、资金筹措、建设实施、运行管理、设备维修维护、债务偿还、资产管理和运营过程中的安全问题实行全程负责，承诺按招标文件规定自主经营，自负盈亏，并接受校方监管。学院只提供场地及市场。</w:t>
      </w:r>
    </w:p>
    <w:p>
      <w:pPr>
        <w:pStyle w:val="5"/>
        <w:topLinePunct/>
        <w:autoSpaceDE w:val="0"/>
        <w:autoSpaceDN w:val="0"/>
        <w:adjustRightInd w:val="0"/>
        <w:snapToGrid w:val="0"/>
        <w:spacing w:line="360" w:lineRule="auto"/>
        <w:ind w:firstLine="420" w:firstLineChars="200"/>
        <w:textAlignment w:val="baseline"/>
        <w:rPr>
          <w:rFonts w:cs="仿宋" w:asciiTheme="minorEastAsia" w:hAnsiTheme="minorEastAsia" w:eastAsiaTheme="minorEastAsia"/>
          <w:bCs/>
          <w:snapToGrid w:val="0"/>
          <w:sz w:val="21"/>
          <w:szCs w:val="21"/>
        </w:rPr>
      </w:pPr>
      <w:r>
        <w:rPr>
          <w:rFonts w:hint="eastAsia" w:cs="仿宋" w:asciiTheme="minorEastAsia" w:hAnsiTheme="minorEastAsia" w:eastAsiaTheme="minorEastAsia"/>
          <w:bCs/>
          <w:snapToGrid w:val="0"/>
          <w:sz w:val="21"/>
          <w:szCs w:val="21"/>
        </w:rPr>
        <w:t>6、合作期限内所有设备设施均由公司投资并负责管理，合同期满后项目经营权无偿移交给校方。</w:t>
      </w:r>
    </w:p>
    <w:p>
      <w:pPr>
        <w:pStyle w:val="5"/>
        <w:topLinePunct/>
        <w:autoSpaceDE w:val="0"/>
        <w:autoSpaceDN w:val="0"/>
        <w:adjustRightInd w:val="0"/>
        <w:snapToGrid w:val="0"/>
        <w:spacing w:line="360" w:lineRule="auto"/>
        <w:ind w:firstLine="420" w:firstLineChars="200"/>
        <w:textAlignment w:val="baseline"/>
        <w:rPr>
          <w:rFonts w:cs="仿宋" w:asciiTheme="minorEastAsia" w:hAnsiTheme="minorEastAsia" w:eastAsiaTheme="minorEastAsia"/>
          <w:bCs/>
          <w:snapToGrid w:val="0"/>
          <w:sz w:val="21"/>
          <w:szCs w:val="21"/>
        </w:rPr>
      </w:pPr>
      <w:r>
        <w:rPr>
          <w:rFonts w:hint="eastAsia" w:cs="仿宋" w:asciiTheme="minorEastAsia" w:hAnsiTheme="minorEastAsia" w:eastAsiaTheme="minorEastAsia"/>
          <w:bCs/>
          <w:snapToGrid w:val="0"/>
          <w:sz w:val="21"/>
          <w:szCs w:val="21"/>
        </w:rPr>
        <w:t>7、在合同期执行期间，严格按合同条款履行，如出现学生无法承受收费、不及时维修设备设施、不能保证安全生产、造成环境污染等现象，学校监管部门下达的整改意见又不落实，学校有权提前终止合同，扣除保证金，并保留追溯相关责任的权利，由此所造成的损失由均投资方自负。</w:t>
      </w:r>
    </w:p>
    <w:p>
      <w:pPr>
        <w:pStyle w:val="5"/>
        <w:topLinePunct/>
        <w:autoSpaceDE w:val="0"/>
        <w:autoSpaceDN w:val="0"/>
        <w:adjustRightInd w:val="0"/>
        <w:snapToGrid w:val="0"/>
        <w:spacing w:line="360" w:lineRule="auto"/>
        <w:ind w:firstLine="420" w:firstLineChars="200"/>
        <w:textAlignment w:val="baseline"/>
        <w:rPr>
          <w:rFonts w:cs="仿宋" w:asciiTheme="minorEastAsia" w:hAnsiTheme="minorEastAsia" w:eastAsiaTheme="minorEastAsia"/>
          <w:bCs/>
          <w:snapToGrid w:val="0"/>
          <w:sz w:val="21"/>
          <w:szCs w:val="21"/>
        </w:rPr>
      </w:pPr>
      <w:r>
        <w:rPr>
          <w:rFonts w:hint="eastAsia" w:cs="仿宋" w:asciiTheme="minorEastAsia" w:hAnsiTheme="minorEastAsia" w:eastAsiaTheme="minorEastAsia"/>
          <w:bCs/>
          <w:snapToGrid w:val="0"/>
          <w:sz w:val="21"/>
          <w:szCs w:val="21"/>
        </w:rPr>
        <w:t>8、学校根据国家有关政策每月按时按价收取水电费。所发生的水费和电费由投资方承担，并承担后期的经营和管理维护，学校不承担任何经营风险以及各项费用。</w:t>
      </w:r>
    </w:p>
    <w:p>
      <w:pPr>
        <w:pStyle w:val="5"/>
        <w:topLinePunct/>
        <w:autoSpaceDE w:val="0"/>
        <w:autoSpaceDN w:val="0"/>
        <w:adjustRightInd w:val="0"/>
        <w:snapToGrid w:val="0"/>
        <w:spacing w:line="360" w:lineRule="auto"/>
        <w:ind w:firstLine="420" w:firstLineChars="200"/>
        <w:textAlignment w:val="baseline"/>
        <w:rPr>
          <w:rFonts w:cs="仿宋" w:asciiTheme="minorEastAsia" w:hAnsiTheme="minorEastAsia" w:eastAsiaTheme="minorEastAsia"/>
          <w:bCs/>
          <w:snapToGrid w:val="0"/>
          <w:sz w:val="21"/>
          <w:szCs w:val="21"/>
        </w:rPr>
      </w:pPr>
      <w:r>
        <w:rPr>
          <w:rFonts w:hint="eastAsia" w:cs="仿宋" w:asciiTheme="minorEastAsia" w:hAnsiTheme="minorEastAsia" w:eastAsiaTheme="minorEastAsia"/>
          <w:bCs/>
          <w:snapToGrid w:val="0"/>
          <w:sz w:val="21"/>
          <w:szCs w:val="21"/>
        </w:rPr>
        <w:t>9、热泵机组设备安装在新建宿舍楼顶指定位置，并做美化防护措施。</w:t>
      </w:r>
    </w:p>
    <w:p>
      <w:pPr>
        <w:pStyle w:val="5"/>
        <w:topLinePunct/>
        <w:autoSpaceDE w:val="0"/>
        <w:autoSpaceDN w:val="0"/>
        <w:adjustRightInd w:val="0"/>
        <w:snapToGrid w:val="0"/>
        <w:spacing w:line="360" w:lineRule="auto"/>
        <w:ind w:firstLine="420" w:firstLineChars="200"/>
        <w:textAlignment w:val="baseline"/>
        <w:rPr>
          <w:rFonts w:cs="仿宋" w:asciiTheme="minorEastAsia" w:hAnsiTheme="minorEastAsia" w:eastAsiaTheme="minorEastAsia"/>
          <w:bCs/>
          <w:snapToGrid w:val="0"/>
          <w:sz w:val="21"/>
          <w:szCs w:val="21"/>
        </w:rPr>
      </w:pPr>
      <w:r>
        <w:rPr>
          <w:rFonts w:hint="eastAsia" w:cs="仿宋" w:asciiTheme="minorEastAsia" w:hAnsiTheme="minorEastAsia" w:eastAsiaTheme="minorEastAsia"/>
          <w:bCs/>
          <w:snapToGrid w:val="0"/>
          <w:sz w:val="21"/>
          <w:szCs w:val="21"/>
        </w:rPr>
        <w:t>10、热水、饮水部分，学校只负责提供接电点，从接电点至机组的电线电缆由投标方负责采购敷设；洗衣机水电改造由投资方负责；空调部分的电力负荷由校方负责。</w:t>
      </w:r>
    </w:p>
    <w:p>
      <w:pPr>
        <w:pStyle w:val="5"/>
        <w:topLinePunct/>
        <w:autoSpaceDE w:val="0"/>
        <w:autoSpaceDN w:val="0"/>
        <w:adjustRightInd w:val="0"/>
        <w:snapToGrid w:val="0"/>
        <w:spacing w:line="360" w:lineRule="auto"/>
        <w:ind w:firstLine="420" w:firstLineChars="200"/>
        <w:textAlignment w:val="baseline"/>
        <w:rPr>
          <w:rFonts w:cs="仿宋" w:asciiTheme="minorEastAsia" w:hAnsiTheme="minorEastAsia" w:eastAsiaTheme="minorEastAsia"/>
          <w:bCs/>
          <w:snapToGrid w:val="0"/>
          <w:sz w:val="18"/>
          <w:szCs w:val="18"/>
        </w:rPr>
      </w:pPr>
      <w:r>
        <w:rPr>
          <w:rFonts w:hint="eastAsia" w:cs="仿宋" w:asciiTheme="minorEastAsia" w:hAnsiTheme="minorEastAsia" w:eastAsiaTheme="minorEastAsia"/>
          <w:bCs/>
          <w:snapToGrid w:val="0"/>
          <w:sz w:val="21"/>
          <w:szCs w:val="21"/>
        </w:rPr>
        <w:t>11、其他相关要求</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09"/>
        <w:gridCol w:w="63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84" w:type="dxa"/>
            <w:vAlign w:val="center"/>
          </w:tcPr>
          <w:p>
            <w:pPr>
              <w:adjustRightInd w:val="0"/>
              <w:snapToGrid w:val="0"/>
              <w:spacing w:line="360" w:lineRule="auto"/>
              <w:rPr>
                <w:rFonts w:cs="宋体" w:asciiTheme="minorEastAsia" w:hAnsiTheme="minorEastAsia"/>
                <w:bCs/>
                <w:snapToGrid w:val="0"/>
                <w:sz w:val="18"/>
                <w:szCs w:val="18"/>
              </w:rPr>
            </w:pPr>
            <w:r>
              <w:rPr>
                <w:rFonts w:hint="eastAsia" w:cs="宋体" w:asciiTheme="minorEastAsia" w:hAnsiTheme="minorEastAsia"/>
                <w:bCs/>
                <w:sz w:val="18"/>
                <w:szCs w:val="18"/>
              </w:rPr>
              <w:t>工期要求</w:t>
            </w:r>
          </w:p>
        </w:tc>
        <w:tc>
          <w:tcPr>
            <w:tcW w:w="6572" w:type="dxa"/>
            <w:vAlign w:val="center"/>
          </w:tcPr>
          <w:p>
            <w:pPr>
              <w:adjustRightInd w:val="0"/>
              <w:snapToGrid w:val="0"/>
              <w:spacing w:line="360" w:lineRule="auto"/>
              <w:rPr>
                <w:rFonts w:cs="宋体" w:asciiTheme="minorEastAsia" w:hAnsiTheme="minorEastAsia"/>
                <w:bCs/>
                <w:snapToGrid w:val="0"/>
                <w:sz w:val="18"/>
                <w:szCs w:val="18"/>
              </w:rPr>
            </w:pPr>
            <w:r>
              <w:rPr>
                <w:rFonts w:hint="eastAsia" w:cs="宋体" w:asciiTheme="minorEastAsia" w:hAnsiTheme="minorEastAsia"/>
                <w:bCs/>
                <w:sz w:val="18"/>
                <w:szCs w:val="18"/>
              </w:rPr>
              <w:t>120天（日历日），自合同签订之日起算。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84" w:type="dxa"/>
            <w:vAlign w:val="center"/>
          </w:tcPr>
          <w:p>
            <w:pPr>
              <w:adjustRightInd w:val="0"/>
              <w:snapToGrid w:val="0"/>
              <w:spacing w:line="360" w:lineRule="auto"/>
              <w:rPr>
                <w:rFonts w:cs="宋体" w:asciiTheme="minorEastAsia" w:hAnsiTheme="minorEastAsia"/>
                <w:bCs/>
                <w:snapToGrid w:val="0"/>
                <w:sz w:val="18"/>
                <w:szCs w:val="18"/>
              </w:rPr>
            </w:pPr>
            <w:r>
              <w:rPr>
                <w:rFonts w:hint="eastAsia" w:cs="宋体" w:asciiTheme="minorEastAsia" w:hAnsiTheme="minorEastAsia"/>
                <w:bCs/>
                <w:sz w:val="18"/>
                <w:szCs w:val="18"/>
              </w:rPr>
              <w:t>质量标准</w:t>
            </w:r>
          </w:p>
        </w:tc>
        <w:tc>
          <w:tcPr>
            <w:tcW w:w="6572" w:type="dxa"/>
            <w:vAlign w:val="center"/>
          </w:tcPr>
          <w:p>
            <w:pPr>
              <w:adjustRightInd w:val="0"/>
              <w:snapToGrid w:val="0"/>
              <w:spacing w:line="360" w:lineRule="auto"/>
              <w:rPr>
                <w:rFonts w:cs="宋体" w:asciiTheme="minorEastAsia" w:hAnsiTheme="minorEastAsia"/>
                <w:bCs/>
                <w:snapToGrid w:val="0"/>
                <w:sz w:val="18"/>
                <w:szCs w:val="18"/>
              </w:rPr>
            </w:pPr>
            <w:r>
              <w:rPr>
                <w:rFonts w:hint="eastAsia" w:cs="宋体" w:asciiTheme="minorEastAsia" w:hAnsiTheme="minorEastAsia"/>
                <w:bCs/>
                <w:sz w:val="18"/>
                <w:szCs w:val="18"/>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84" w:type="dxa"/>
            <w:vAlign w:val="center"/>
          </w:tcPr>
          <w:p>
            <w:pPr>
              <w:adjustRightInd w:val="0"/>
              <w:snapToGrid w:val="0"/>
              <w:spacing w:line="360" w:lineRule="auto"/>
              <w:rPr>
                <w:rFonts w:cs="宋体" w:asciiTheme="minorEastAsia" w:hAnsiTheme="minorEastAsia"/>
                <w:bCs/>
                <w:snapToGrid w:val="0"/>
                <w:sz w:val="18"/>
                <w:szCs w:val="18"/>
              </w:rPr>
            </w:pPr>
            <w:r>
              <w:rPr>
                <w:rFonts w:hint="eastAsia" w:cs="宋体" w:asciiTheme="minorEastAsia" w:hAnsiTheme="minorEastAsia"/>
                <w:bCs/>
                <w:sz w:val="18"/>
                <w:szCs w:val="18"/>
              </w:rPr>
              <w:t>供热模式</w:t>
            </w:r>
          </w:p>
        </w:tc>
        <w:tc>
          <w:tcPr>
            <w:tcW w:w="6572" w:type="dxa"/>
            <w:vAlign w:val="center"/>
          </w:tcPr>
          <w:p>
            <w:pPr>
              <w:adjustRightInd w:val="0"/>
              <w:snapToGrid w:val="0"/>
              <w:spacing w:line="360" w:lineRule="auto"/>
              <w:rPr>
                <w:rFonts w:cs="宋体" w:asciiTheme="minorEastAsia" w:hAnsiTheme="minorEastAsia"/>
                <w:bCs/>
                <w:snapToGrid w:val="0"/>
                <w:sz w:val="18"/>
                <w:szCs w:val="18"/>
              </w:rPr>
            </w:pPr>
            <w:r>
              <w:rPr>
                <w:rFonts w:hint="eastAsia" w:cs="宋体" w:asciiTheme="minorEastAsia" w:hAnsiTheme="minorEastAsia"/>
                <w:bCs/>
                <w:sz w:val="18"/>
                <w:szCs w:val="18"/>
              </w:rPr>
              <w:t>以空气源热泵为主能源，辅热能源为电辅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84" w:type="dxa"/>
            <w:vAlign w:val="center"/>
          </w:tcPr>
          <w:p>
            <w:pPr>
              <w:adjustRightInd w:val="0"/>
              <w:snapToGrid w:val="0"/>
              <w:spacing w:line="360" w:lineRule="auto"/>
              <w:rPr>
                <w:rFonts w:cs="宋体" w:asciiTheme="minorEastAsia" w:hAnsiTheme="minorEastAsia"/>
                <w:bCs/>
                <w:snapToGrid w:val="0"/>
                <w:sz w:val="18"/>
                <w:szCs w:val="18"/>
              </w:rPr>
            </w:pPr>
            <w:r>
              <w:rPr>
                <w:rFonts w:hint="eastAsia" w:cs="宋体" w:asciiTheme="minorEastAsia" w:hAnsiTheme="minorEastAsia"/>
                <w:bCs/>
                <w:sz w:val="18"/>
                <w:szCs w:val="18"/>
              </w:rPr>
              <w:t>消费、充值方式</w:t>
            </w:r>
          </w:p>
        </w:tc>
        <w:tc>
          <w:tcPr>
            <w:tcW w:w="6572" w:type="dxa"/>
            <w:vAlign w:val="center"/>
          </w:tcPr>
          <w:p>
            <w:pPr>
              <w:adjustRightInd w:val="0"/>
              <w:snapToGrid w:val="0"/>
              <w:spacing w:line="360" w:lineRule="auto"/>
              <w:rPr>
                <w:rFonts w:cs="宋体" w:asciiTheme="minorEastAsia" w:hAnsiTheme="minorEastAsia"/>
                <w:bCs/>
                <w:snapToGrid w:val="0"/>
                <w:sz w:val="18"/>
                <w:szCs w:val="18"/>
              </w:rPr>
            </w:pPr>
            <w:r>
              <w:rPr>
                <w:rFonts w:hint="eastAsia" w:cs="宋体" w:asciiTheme="minorEastAsia" w:hAnsiTheme="minorEastAsia"/>
                <w:bCs/>
                <w:sz w:val="18"/>
                <w:szCs w:val="18"/>
              </w:rPr>
              <w:t>学生自愿消费，热水、直饮水、洗衣机在学校校园一卡通中消费、充值。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84" w:type="dxa"/>
            <w:vAlign w:val="center"/>
          </w:tcPr>
          <w:p>
            <w:pPr>
              <w:adjustRightInd w:val="0"/>
              <w:snapToGrid w:val="0"/>
              <w:spacing w:line="360" w:lineRule="auto"/>
              <w:jc w:val="center"/>
              <w:rPr>
                <w:rFonts w:cs="宋体" w:asciiTheme="minorEastAsia" w:hAnsiTheme="minorEastAsia"/>
                <w:bCs/>
                <w:sz w:val="18"/>
                <w:szCs w:val="18"/>
              </w:rPr>
            </w:pPr>
            <w:r>
              <w:rPr>
                <w:rFonts w:hint="eastAsia" w:asciiTheme="minorEastAsia" w:hAnsiTheme="minorEastAsia"/>
                <w:bCs/>
                <w:sz w:val="18"/>
                <w:szCs w:val="18"/>
              </w:rPr>
              <w:t>热水、直饮水、洗衣机、空调收费标准</w:t>
            </w:r>
          </w:p>
        </w:tc>
        <w:tc>
          <w:tcPr>
            <w:tcW w:w="6572" w:type="dxa"/>
            <w:vAlign w:val="center"/>
          </w:tcPr>
          <w:p>
            <w:pPr>
              <w:adjustRightInd w:val="0"/>
              <w:snapToGrid w:val="0"/>
              <w:spacing w:line="360" w:lineRule="auto"/>
              <w:rPr>
                <w:rFonts w:asciiTheme="minorEastAsia" w:hAnsiTheme="minorEastAsia"/>
                <w:bCs/>
                <w:sz w:val="18"/>
                <w:szCs w:val="18"/>
              </w:rPr>
            </w:pPr>
            <w:r>
              <w:rPr>
                <w:rFonts w:hint="eastAsia" w:asciiTheme="minorEastAsia" w:hAnsiTheme="minorEastAsia"/>
                <w:bCs/>
                <w:sz w:val="18"/>
                <w:szCs w:val="18"/>
              </w:rPr>
              <w:t>收费标准按校本部标准执行，具体如下：</w:t>
            </w:r>
          </w:p>
          <w:p>
            <w:pPr>
              <w:adjustRightInd w:val="0"/>
              <w:snapToGrid w:val="0"/>
              <w:spacing w:line="360" w:lineRule="auto"/>
              <w:rPr>
                <w:rFonts w:asciiTheme="minorEastAsia" w:hAnsiTheme="minorEastAsia"/>
                <w:bCs/>
                <w:sz w:val="18"/>
                <w:szCs w:val="18"/>
              </w:rPr>
            </w:pPr>
            <w:r>
              <w:rPr>
                <w:rFonts w:hint="eastAsia" w:asciiTheme="minorEastAsia" w:hAnsiTheme="minorEastAsia"/>
                <w:bCs/>
                <w:sz w:val="18"/>
                <w:szCs w:val="18"/>
              </w:rPr>
              <w:t>热水价格35元/吨；</w:t>
            </w:r>
          </w:p>
          <w:p>
            <w:pPr>
              <w:adjustRightInd w:val="0"/>
              <w:snapToGrid w:val="0"/>
              <w:spacing w:line="360" w:lineRule="auto"/>
              <w:rPr>
                <w:rFonts w:asciiTheme="minorEastAsia" w:hAnsiTheme="minorEastAsia"/>
                <w:bCs/>
                <w:sz w:val="18"/>
                <w:szCs w:val="18"/>
              </w:rPr>
            </w:pPr>
            <w:r>
              <w:rPr>
                <w:rFonts w:hint="eastAsia" w:asciiTheme="minorEastAsia" w:hAnsiTheme="minorEastAsia"/>
                <w:bCs/>
                <w:sz w:val="18"/>
                <w:szCs w:val="18"/>
              </w:rPr>
              <w:t>直饮水价格0.35（温水）-0.5（开水）元/升；</w:t>
            </w:r>
          </w:p>
          <w:p>
            <w:pPr>
              <w:adjustRightInd w:val="0"/>
              <w:snapToGrid w:val="0"/>
              <w:spacing w:line="360" w:lineRule="auto"/>
              <w:rPr>
                <w:rFonts w:asciiTheme="minorEastAsia" w:hAnsiTheme="minorEastAsia"/>
                <w:bCs/>
                <w:sz w:val="18"/>
                <w:szCs w:val="18"/>
              </w:rPr>
            </w:pPr>
            <w:r>
              <w:rPr>
                <w:rFonts w:hint="eastAsia" w:asciiTheme="minorEastAsia" w:hAnsiTheme="minorEastAsia"/>
                <w:bCs/>
                <w:sz w:val="18"/>
                <w:szCs w:val="18"/>
              </w:rPr>
              <w:t>空调价格按政府相关收费规定执行；</w:t>
            </w:r>
          </w:p>
          <w:p>
            <w:pPr>
              <w:adjustRightInd w:val="0"/>
              <w:snapToGrid w:val="0"/>
              <w:spacing w:line="360" w:lineRule="auto"/>
              <w:rPr>
                <w:rFonts w:asciiTheme="minorEastAsia" w:hAnsiTheme="minorEastAsia"/>
                <w:bCs/>
                <w:sz w:val="18"/>
                <w:szCs w:val="18"/>
              </w:rPr>
            </w:pPr>
            <w:r>
              <w:rPr>
                <w:rFonts w:hint="eastAsia" w:asciiTheme="minorEastAsia" w:hAnsiTheme="minorEastAsia"/>
                <w:bCs/>
                <w:sz w:val="18"/>
                <w:szCs w:val="18"/>
              </w:rPr>
              <w:t>洗衣价格2-5元/桶。</w:t>
            </w:r>
          </w:p>
          <w:p>
            <w:pPr>
              <w:adjustRightInd w:val="0"/>
              <w:snapToGrid w:val="0"/>
              <w:spacing w:line="360" w:lineRule="auto"/>
              <w:rPr>
                <w:rFonts w:asciiTheme="minorEastAsia" w:hAnsiTheme="minorEastAsia"/>
                <w:sz w:val="18"/>
                <w:szCs w:val="18"/>
              </w:rPr>
            </w:pPr>
            <w:r>
              <w:rPr>
                <w:rFonts w:hint="eastAsia" w:asciiTheme="minorEastAsia" w:hAnsiTheme="minorEastAsia"/>
                <w:bCs/>
                <w:sz w:val="18"/>
                <w:szCs w:val="18"/>
              </w:rPr>
              <w:t>（备注：因以上价格为固定价格，投标人无需再进行报价，在综合评分时不做价格评审。）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84" w:type="dxa"/>
            <w:vAlign w:val="center"/>
          </w:tcPr>
          <w:p>
            <w:pPr>
              <w:adjustRightInd w:val="0"/>
              <w:snapToGrid w:val="0"/>
              <w:spacing w:line="360" w:lineRule="auto"/>
              <w:rPr>
                <w:rFonts w:cs="宋体" w:asciiTheme="minorEastAsia" w:hAnsiTheme="minorEastAsia"/>
                <w:bCs/>
                <w:snapToGrid w:val="0"/>
                <w:sz w:val="18"/>
                <w:szCs w:val="18"/>
              </w:rPr>
            </w:pPr>
            <w:r>
              <w:rPr>
                <w:rFonts w:hint="eastAsia" w:cs="宋体" w:asciiTheme="minorEastAsia" w:hAnsiTheme="minorEastAsia"/>
                <w:bCs/>
                <w:sz w:val="18"/>
                <w:szCs w:val="18"/>
              </w:rPr>
              <w:t>每天供应时间</w:t>
            </w:r>
          </w:p>
        </w:tc>
        <w:tc>
          <w:tcPr>
            <w:tcW w:w="6572" w:type="dxa"/>
            <w:vAlign w:val="center"/>
          </w:tcPr>
          <w:p>
            <w:pPr>
              <w:adjustRightInd w:val="0"/>
              <w:snapToGrid w:val="0"/>
              <w:spacing w:line="360" w:lineRule="auto"/>
              <w:rPr>
                <w:rFonts w:cs="宋体" w:asciiTheme="minorEastAsia" w:hAnsiTheme="minorEastAsia"/>
                <w:bCs/>
                <w:snapToGrid w:val="0"/>
                <w:sz w:val="18"/>
                <w:szCs w:val="18"/>
              </w:rPr>
            </w:pPr>
            <w:r>
              <w:rPr>
                <w:rFonts w:hint="eastAsia" w:cs="宋体" w:asciiTheme="minorEastAsia" w:hAnsiTheme="minorEastAsia"/>
                <w:bCs/>
                <w:snapToGrid w:val="0"/>
                <w:sz w:val="18"/>
                <w:szCs w:val="18"/>
              </w:rPr>
              <w:t>热水每天分早中晚三个时段供水，每天供水时间不低于10小时，具体供水时间由投标人在投标文件确定。</w:t>
            </w:r>
          </w:p>
          <w:p>
            <w:pPr>
              <w:adjustRightInd w:val="0"/>
              <w:snapToGrid w:val="0"/>
              <w:spacing w:line="360" w:lineRule="auto"/>
              <w:rPr>
                <w:rFonts w:cs="宋体" w:asciiTheme="minorEastAsia" w:hAnsiTheme="minorEastAsia"/>
                <w:bCs/>
                <w:snapToGrid w:val="0"/>
                <w:sz w:val="18"/>
                <w:szCs w:val="18"/>
              </w:rPr>
            </w:pPr>
            <w:r>
              <w:rPr>
                <w:rFonts w:hint="eastAsia" w:cs="宋体" w:asciiTheme="minorEastAsia" w:hAnsiTheme="minorEastAsia"/>
                <w:bCs/>
                <w:snapToGrid w:val="0"/>
                <w:sz w:val="18"/>
                <w:szCs w:val="18"/>
              </w:rPr>
              <w:t>直饮水全天24小时供水。</w:t>
            </w:r>
          </w:p>
          <w:p>
            <w:pPr>
              <w:adjustRightInd w:val="0"/>
              <w:snapToGrid w:val="0"/>
              <w:spacing w:line="360" w:lineRule="auto"/>
              <w:rPr>
                <w:rFonts w:cs="宋体" w:asciiTheme="minorEastAsia" w:hAnsiTheme="minorEastAsia"/>
                <w:bCs/>
                <w:snapToGrid w:val="0"/>
                <w:sz w:val="18"/>
                <w:szCs w:val="18"/>
              </w:rPr>
            </w:pPr>
            <w:r>
              <w:rPr>
                <w:rFonts w:hint="eastAsia" w:cs="宋体" w:asciiTheme="minorEastAsia" w:hAnsiTheme="minorEastAsia"/>
                <w:bCs/>
                <w:snapToGrid w:val="0"/>
                <w:sz w:val="18"/>
                <w:szCs w:val="18"/>
              </w:rPr>
              <w:t>洗衣机全天候待机，空调全天候待机。</w:t>
            </w:r>
          </w:p>
          <w:p>
            <w:pPr>
              <w:adjustRightInd w:val="0"/>
              <w:snapToGrid w:val="0"/>
              <w:spacing w:line="360" w:lineRule="auto"/>
              <w:rPr>
                <w:rFonts w:cs="宋体" w:asciiTheme="minorEastAsia" w:hAnsiTheme="minorEastAsia"/>
                <w:bCs/>
                <w:snapToGrid w:val="0"/>
                <w:sz w:val="18"/>
                <w:szCs w:val="18"/>
              </w:rPr>
            </w:pPr>
            <w:r>
              <w:rPr>
                <w:rFonts w:hint="eastAsia" w:cs="宋体" w:asciiTheme="minorEastAsia" w:hAnsiTheme="minorEastAsia"/>
                <w:bCs/>
                <w:snapToGrid w:val="0"/>
                <w:sz w:val="18"/>
                <w:szCs w:val="18"/>
              </w:rPr>
              <w:t>24小时提供快递服务。</w:t>
            </w:r>
          </w:p>
        </w:tc>
      </w:tr>
    </w:tbl>
    <w:p>
      <w:pPr>
        <w:spacing w:line="360" w:lineRule="auto"/>
        <w:rPr>
          <w:rFonts w:asciiTheme="minorEastAsia" w:hAnsiTheme="minorEastAsia"/>
          <w:b/>
          <w:sz w:val="18"/>
          <w:szCs w:val="18"/>
        </w:rPr>
      </w:pPr>
    </w:p>
    <w:p>
      <w:pPr>
        <w:widowControl/>
        <w:jc w:val="left"/>
        <w:rPr>
          <w:rFonts w:asciiTheme="minorEastAsia" w:hAnsiTheme="minorEastAsia"/>
          <w:b/>
          <w:szCs w:val="21"/>
        </w:rPr>
      </w:pPr>
      <w:r>
        <w:rPr>
          <w:rFonts w:asciiTheme="minorEastAsia" w:hAnsiTheme="minorEastAsia"/>
          <w:b/>
          <w:szCs w:val="21"/>
        </w:rPr>
        <w:br w:type="page"/>
      </w:r>
    </w:p>
    <w:p>
      <w:pPr>
        <w:spacing w:line="360" w:lineRule="auto"/>
        <w:rPr>
          <w:rFonts w:cs="宋体" w:asciiTheme="minorEastAsia" w:hAnsiTheme="minorEastAsia"/>
          <w:b/>
          <w:szCs w:val="21"/>
        </w:rPr>
      </w:pPr>
      <w:r>
        <w:rPr>
          <w:rFonts w:hint="eastAsia" w:cs="宋体" w:asciiTheme="minorEastAsia" w:hAnsiTheme="minorEastAsia"/>
          <w:b/>
          <w:szCs w:val="21"/>
        </w:rPr>
        <w:t>包2：湖南财政经济学院雷锋校区智慧校园建设项目</w:t>
      </w:r>
    </w:p>
    <w:p>
      <w:pPr>
        <w:spacing w:line="360" w:lineRule="auto"/>
        <w:ind w:firstLine="422" w:firstLineChars="200"/>
        <w:rPr>
          <w:rFonts w:cs="宋体" w:asciiTheme="minorEastAsia" w:hAnsiTheme="minorEastAsia"/>
          <w:b/>
          <w:color w:val="000000"/>
          <w:szCs w:val="21"/>
        </w:rPr>
      </w:pPr>
      <w:r>
        <w:rPr>
          <w:rFonts w:hint="eastAsia" w:cs="宋体" w:asciiTheme="minorEastAsia" w:hAnsiTheme="minorEastAsia"/>
          <w:b/>
          <w:color w:val="000000"/>
          <w:szCs w:val="21"/>
        </w:rPr>
        <w:t>一、项目概况</w:t>
      </w:r>
    </w:p>
    <w:p>
      <w:pPr>
        <w:spacing w:line="360" w:lineRule="auto"/>
        <w:ind w:firstLine="422" w:firstLineChars="200"/>
        <w:rPr>
          <w:rFonts w:cs="宋体" w:asciiTheme="minorEastAsia" w:hAnsiTheme="minorEastAsia"/>
          <w:b/>
          <w:szCs w:val="21"/>
        </w:rPr>
      </w:pPr>
      <w:r>
        <w:rPr>
          <w:rFonts w:hint="eastAsia" w:cs="宋体" w:asciiTheme="minorEastAsia" w:hAnsiTheme="minorEastAsia"/>
          <w:b/>
          <w:szCs w:val="21"/>
        </w:rPr>
        <w:t>（一）项目简介</w:t>
      </w:r>
    </w:p>
    <w:p>
      <w:pPr>
        <w:spacing w:line="360" w:lineRule="auto"/>
        <w:ind w:firstLine="420" w:firstLineChars="200"/>
        <w:rPr>
          <w:rFonts w:cs="宋体" w:asciiTheme="minorEastAsia" w:hAnsiTheme="minorEastAsia"/>
          <w:bCs/>
          <w:szCs w:val="21"/>
        </w:rPr>
      </w:pPr>
      <w:r>
        <w:rPr>
          <w:rFonts w:hint="eastAsia" w:cs="宋体" w:asciiTheme="minorEastAsia" w:hAnsiTheme="minorEastAsia"/>
          <w:bCs/>
          <w:szCs w:val="21"/>
        </w:rPr>
        <w:t>湖南财政经济学院为改善雷锋校区学生住宿、生活保障等条件，现已启动雷锋校区新工（文）科产教融合基地第一期建设，决定新建3栋学生公寓、1栋实训楼，投资人负责综合布线、网络、学生宿舍门禁、车辆道闸、学生宿舍智能电表、消费POS、学生离校系统、上下课铃（与网络连接）等。雷锋校区在校学生预计5000人。</w:t>
      </w:r>
    </w:p>
    <w:p>
      <w:pPr>
        <w:widowControl/>
        <w:numPr>
          <w:ilvl w:val="0"/>
          <w:numId w:val="1"/>
        </w:numPr>
        <w:spacing w:line="360" w:lineRule="auto"/>
        <w:ind w:firstLine="422" w:firstLineChars="200"/>
        <w:rPr>
          <w:rFonts w:cs="宋体" w:asciiTheme="minorEastAsia" w:hAnsiTheme="minorEastAsia"/>
          <w:b/>
          <w:szCs w:val="21"/>
        </w:rPr>
      </w:pPr>
      <w:r>
        <w:rPr>
          <w:rFonts w:hint="eastAsia" w:cs="宋体" w:asciiTheme="minorEastAsia" w:hAnsiTheme="minorEastAsia"/>
          <w:b/>
          <w:szCs w:val="21"/>
        </w:rPr>
        <w:t>项目内容及要求</w:t>
      </w:r>
    </w:p>
    <w:p>
      <w:pPr>
        <w:widowControl/>
        <w:spacing w:line="360" w:lineRule="auto"/>
        <w:ind w:firstLine="422" w:firstLineChars="200"/>
        <w:rPr>
          <w:rFonts w:cs="宋体" w:asciiTheme="minorEastAsia" w:hAnsiTheme="minorEastAsia"/>
          <w:b/>
          <w:szCs w:val="21"/>
        </w:rPr>
      </w:pPr>
      <w:r>
        <w:rPr>
          <w:rFonts w:hint="eastAsia" w:cs="宋体" w:asciiTheme="minorEastAsia" w:hAnsiTheme="minorEastAsia"/>
          <w:b/>
          <w:szCs w:val="21"/>
        </w:rPr>
        <w:t>2.1项目内容：</w:t>
      </w:r>
    </w:p>
    <w:p>
      <w:pPr>
        <w:spacing w:line="360" w:lineRule="auto"/>
        <w:ind w:firstLine="420" w:firstLineChars="200"/>
        <w:rPr>
          <w:rFonts w:asciiTheme="minorEastAsia" w:hAnsiTheme="minorEastAsia"/>
          <w:szCs w:val="21"/>
        </w:rPr>
      </w:pPr>
      <w:r>
        <w:rPr>
          <w:rFonts w:hint="eastAsia" w:asciiTheme="minorEastAsia" w:hAnsiTheme="minorEastAsia"/>
          <w:szCs w:val="21"/>
        </w:rPr>
        <w:t>湖南财政经济学院雷锋校区智慧校园建设</w:t>
      </w:r>
      <w:r>
        <w:rPr>
          <w:rFonts w:hint="eastAsia" w:cs="宋体" w:asciiTheme="minorEastAsia" w:hAnsiTheme="minorEastAsia"/>
          <w:szCs w:val="21"/>
        </w:rPr>
        <w:t>BOT</w:t>
      </w:r>
      <w:r>
        <w:rPr>
          <w:rFonts w:hint="eastAsia" w:asciiTheme="minorEastAsia" w:hAnsiTheme="minorEastAsia"/>
          <w:szCs w:val="21"/>
        </w:rPr>
        <w:t>项目内容包括：代理学校办理网络及通信业务、综合布线（含弱电桥架、弱电管沟）、网络设备、校区门禁（校大门门禁需具备人脸识别和闸机硬软件功能）、车辆道闸、校园安防监控、校园一卡通系统及硬件设备（须与主校区现用系统实现无缝对接）、学生宿舍智能电表（包含系统及智能电表设备和安装调试，并具备网上售电和控电功能，与校本部一卡通对接）、学生离校系统、上下课铃（与网络连接）。</w:t>
      </w:r>
    </w:p>
    <w:p>
      <w:pPr>
        <w:spacing w:line="360" w:lineRule="auto"/>
        <w:ind w:firstLine="422" w:firstLineChars="200"/>
        <w:rPr>
          <w:rFonts w:asciiTheme="minorEastAsia" w:hAnsiTheme="minorEastAsia"/>
          <w:szCs w:val="21"/>
        </w:rPr>
      </w:pPr>
      <w:r>
        <w:rPr>
          <w:rFonts w:hint="eastAsia" w:cs="宋体" w:asciiTheme="minorEastAsia" w:hAnsiTheme="minorEastAsia"/>
          <w:b/>
          <w:bCs/>
          <w:szCs w:val="21"/>
        </w:rPr>
        <w:t>2.2总体要求：</w:t>
      </w:r>
    </w:p>
    <w:p>
      <w:pPr>
        <w:spacing w:line="360" w:lineRule="auto"/>
        <w:ind w:firstLine="420" w:firstLineChars="200"/>
        <w:rPr>
          <w:rFonts w:asciiTheme="minorEastAsia" w:hAnsiTheme="minorEastAsia"/>
          <w:szCs w:val="21"/>
        </w:rPr>
      </w:pPr>
      <w:r>
        <w:rPr>
          <w:rFonts w:hint="eastAsia" w:asciiTheme="minorEastAsia" w:hAnsiTheme="minorEastAsia"/>
          <w:szCs w:val="21"/>
        </w:rPr>
        <w:t>1、主校区和分校区采用20G聚合链路对接，分校区须与主校区智慧校园一网融合，分校区的应用建设应与主校区完全兼容（不采用第三方对接方式），无线网络实现雷锋校区全覆盖。</w:t>
      </w:r>
    </w:p>
    <w:p>
      <w:pPr>
        <w:spacing w:line="360" w:lineRule="auto"/>
        <w:ind w:firstLine="420" w:firstLineChars="200"/>
        <w:rPr>
          <w:rFonts w:asciiTheme="minorEastAsia" w:hAnsiTheme="minorEastAsia"/>
          <w:szCs w:val="21"/>
        </w:rPr>
      </w:pPr>
      <w:r>
        <w:rPr>
          <w:rFonts w:hint="eastAsia" w:cs="宋体" w:asciiTheme="minorEastAsia" w:hAnsiTheme="minorEastAsia"/>
          <w:szCs w:val="21"/>
        </w:rPr>
        <w:t>2、教学区的网络采用全光网FT</w:t>
      </w:r>
      <w:r>
        <w:rPr>
          <w:rFonts w:hint="eastAsia" w:asciiTheme="minorEastAsia" w:hAnsiTheme="minorEastAsia"/>
          <w:szCs w:val="21"/>
        </w:rPr>
        <w:t>TH形式，分光模式采用一分式（GPON)，ONU设备采用万兆上联，ONU设备支持不少于8个端口接入，无线系统所涉及AP应支持物联网设备接入,支持WIFI6，采用双AP部署；所有教室、实验室都必须配置一根4芯光纤到户。</w:t>
      </w:r>
    </w:p>
    <w:p>
      <w:pPr>
        <w:spacing w:line="360" w:lineRule="auto"/>
        <w:ind w:firstLine="420" w:firstLineChars="200"/>
        <w:rPr>
          <w:rFonts w:asciiTheme="minorEastAsia" w:hAnsiTheme="minorEastAsia"/>
          <w:szCs w:val="21"/>
        </w:rPr>
      </w:pPr>
      <w:r>
        <w:rPr>
          <w:rFonts w:hint="eastAsia" w:asciiTheme="minorEastAsia" w:hAnsiTheme="minorEastAsia"/>
          <w:szCs w:val="21"/>
        </w:rPr>
        <w:t>3、学生公寓的方案由中标人自行设计。</w:t>
      </w:r>
      <w:r>
        <w:rPr>
          <w:rFonts w:asciiTheme="minorEastAsia" w:hAnsiTheme="minorEastAsia"/>
          <w:szCs w:val="21"/>
        </w:rPr>
        <w:br w:type="textWrapping"/>
      </w:r>
      <w:r>
        <w:rPr>
          <w:rFonts w:hint="eastAsia" w:asciiTheme="minorEastAsia" w:hAnsiTheme="minorEastAsia"/>
          <w:szCs w:val="21"/>
        </w:rPr>
        <w:t>4、校区大汇聚采用双核心模式部署。</w:t>
      </w:r>
    </w:p>
    <w:p>
      <w:pPr>
        <w:spacing w:line="360" w:lineRule="auto"/>
        <w:ind w:firstLine="420" w:firstLineChars="200"/>
        <w:rPr>
          <w:rFonts w:asciiTheme="minorEastAsia" w:hAnsiTheme="minorEastAsia"/>
          <w:szCs w:val="21"/>
        </w:rPr>
      </w:pPr>
      <w:r>
        <w:rPr>
          <w:rFonts w:hint="eastAsia" w:asciiTheme="minorEastAsia" w:hAnsiTheme="minorEastAsia"/>
          <w:szCs w:val="21"/>
        </w:rPr>
        <w:t>5、如已建成5G基站，须提供5G服务。</w:t>
      </w:r>
    </w:p>
    <w:p>
      <w:pPr>
        <w:spacing w:line="360" w:lineRule="auto"/>
        <w:ind w:firstLine="420" w:firstLineChars="200"/>
        <w:rPr>
          <w:rFonts w:asciiTheme="minorEastAsia" w:hAnsiTheme="minorEastAsia"/>
          <w:szCs w:val="21"/>
        </w:rPr>
      </w:pPr>
      <w:r>
        <w:rPr>
          <w:rFonts w:hint="eastAsia" w:asciiTheme="minorEastAsia" w:hAnsiTheme="minorEastAsia"/>
          <w:szCs w:val="21"/>
        </w:rPr>
        <w:t>6、与智慧消防实现无缝对接，并承诺无偿对接。</w:t>
      </w:r>
    </w:p>
    <w:p>
      <w:pPr>
        <w:spacing w:line="360" w:lineRule="auto"/>
        <w:ind w:firstLine="420" w:firstLineChars="200"/>
        <w:rPr>
          <w:rFonts w:asciiTheme="minorEastAsia" w:hAnsiTheme="minorEastAsia"/>
          <w:szCs w:val="21"/>
        </w:rPr>
      </w:pPr>
      <w:r>
        <w:rPr>
          <w:rFonts w:hint="eastAsia" w:asciiTheme="minorEastAsia" w:hAnsiTheme="minorEastAsia"/>
          <w:szCs w:val="21"/>
        </w:rPr>
        <w:t>7、网络运维所发生费用和校本部统一。</w:t>
      </w:r>
    </w:p>
    <w:p>
      <w:pPr>
        <w:spacing w:line="360" w:lineRule="auto"/>
        <w:ind w:firstLine="420" w:firstLineChars="200"/>
        <w:rPr>
          <w:rFonts w:asciiTheme="minorEastAsia" w:hAnsiTheme="minorEastAsia"/>
          <w:szCs w:val="21"/>
        </w:rPr>
      </w:pPr>
      <w:r>
        <w:rPr>
          <w:rFonts w:hint="eastAsia" w:asciiTheme="minorEastAsia" w:hAnsiTheme="minorEastAsia"/>
          <w:szCs w:val="21"/>
        </w:rPr>
        <w:t>8、雷锋校区沟管建设，从校门入口到中心机房及校区主马路设置600*700mm弱电沟（留检查井），单边三层支架，弱电沟横向穿过应消防需要需大于120吨承重，主马路到楼栋预埋一根110mm的7孔梅花管。</w:t>
      </w:r>
    </w:p>
    <w:p>
      <w:pPr>
        <w:spacing w:line="360" w:lineRule="auto"/>
        <w:ind w:firstLine="422" w:firstLineChars="200"/>
        <w:rPr>
          <w:rFonts w:asciiTheme="minorEastAsia" w:hAnsiTheme="minorEastAsia"/>
          <w:b/>
          <w:szCs w:val="21"/>
        </w:rPr>
      </w:pPr>
      <w:r>
        <w:rPr>
          <w:rFonts w:hint="eastAsia" w:asciiTheme="minorEastAsia" w:hAnsiTheme="minorEastAsia"/>
          <w:b/>
          <w:szCs w:val="21"/>
        </w:rPr>
        <w:t>二、</w:t>
      </w:r>
      <w:r>
        <w:rPr>
          <w:rFonts w:hint="eastAsia" w:cs="宋体" w:asciiTheme="minorEastAsia" w:hAnsiTheme="minorEastAsia"/>
          <w:b/>
          <w:bCs/>
          <w:szCs w:val="21"/>
        </w:rPr>
        <w:t>项目模式</w:t>
      </w:r>
    </w:p>
    <w:p>
      <w:pPr>
        <w:spacing w:line="360" w:lineRule="auto"/>
        <w:ind w:firstLine="420" w:firstLineChars="200"/>
        <w:rPr>
          <w:rFonts w:cs="宋体" w:asciiTheme="minorEastAsia" w:hAnsiTheme="minorEastAsia"/>
          <w:bCs/>
          <w:szCs w:val="21"/>
        </w:rPr>
      </w:pPr>
      <w:r>
        <w:rPr>
          <w:rFonts w:cs="宋体" w:asciiTheme="minorEastAsia" w:hAnsiTheme="minorEastAsia"/>
          <w:bCs/>
          <w:szCs w:val="21"/>
        </w:rPr>
        <w:t>本项目拟采用建设—运营—移交（BOT）的特许经营方式，由投标方在特许经营期限内负责该项目的投标、设计、建设、运营、维护。运营所需设施设备由投标人出资建设，在学校特许经营期收回成本及收益，投标人自主经营、自负盈亏</w:t>
      </w:r>
      <w:r>
        <w:rPr>
          <w:rFonts w:hint="eastAsia" w:cs="宋体" w:asciiTheme="minorEastAsia" w:hAnsiTheme="minorEastAsia"/>
          <w:bCs/>
          <w:szCs w:val="21"/>
        </w:rPr>
        <w:t>。</w:t>
      </w:r>
    </w:p>
    <w:p>
      <w:pPr>
        <w:spacing w:line="360" w:lineRule="auto"/>
        <w:ind w:firstLine="422" w:firstLineChars="200"/>
        <w:rPr>
          <w:rFonts w:cs="宋体" w:asciiTheme="minorEastAsia" w:hAnsiTheme="minorEastAsia"/>
          <w:b/>
          <w:szCs w:val="21"/>
        </w:rPr>
      </w:pPr>
      <w:r>
        <w:rPr>
          <w:rFonts w:hint="eastAsia" w:cs="宋体" w:asciiTheme="minorEastAsia" w:hAnsiTheme="minorEastAsia"/>
          <w:b/>
          <w:szCs w:val="21"/>
        </w:rPr>
        <w:t>三、主要设备质量要求</w:t>
      </w:r>
    </w:p>
    <w:tbl>
      <w:tblPr>
        <w:tblStyle w:val="11"/>
        <w:tblW w:w="86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16"/>
        <w:gridCol w:w="1189"/>
        <w:gridCol w:w="66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8679" w:type="dxa"/>
            <w:gridSpan w:val="3"/>
            <w:shd w:val="clear" w:color="auto" w:fill="FFFFFF"/>
            <w:tcMar>
              <w:top w:w="15" w:type="dxa"/>
              <w:left w:w="15" w:type="dxa"/>
              <w:right w:w="15" w:type="dxa"/>
            </w:tcMar>
            <w:vAlign w:val="center"/>
          </w:tcPr>
          <w:p>
            <w:pPr>
              <w:spacing w:line="360" w:lineRule="auto"/>
              <w:rPr>
                <w:rFonts w:cs="宋体" w:asciiTheme="minorEastAsia" w:hAnsiTheme="minorEastAsia"/>
                <w:b/>
                <w:sz w:val="18"/>
                <w:szCs w:val="18"/>
              </w:rPr>
            </w:pPr>
            <w:r>
              <w:rPr>
                <w:rFonts w:hint="eastAsia" w:cs="宋体" w:asciiTheme="minorEastAsia" w:hAnsiTheme="minorEastAsia"/>
                <w:b/>
                <w:sz w:val="18"/>
                <w:szCs w:val="18"/>
              </w:rPr>
              <w:t xml:space="preserve">总体说明：该项目为交钥匙工程，投标人在中标后根据现场环境设计相应数量；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816" w:type="dxa"/>
            <w:shd w:val="clear" w:color="auto" w:fill="FFFFFF"/>
            <w:tcMar>
              <w:top w:w="15" w:type="dxa"/>
              <w:left w:w="15" w:type="dxa"/>
              <w:right w:w="15" w:type="dxa"/>
            </w:tcMar>
            <w:vAlign w:val="center"/>
          </w:tcPr>
          <w:p>
            <w:pPr>
              <w:spacing w:line="360" w:lineRule="auto"/>
              <w:jc w:val="center"/>
              <w:rPr>
                <w:rFonts w:cs="宋体" w:asciiTheme="minorEastAsia" w:hAnsiTheme="minorEastAsia"/>
                <w:b/>
                <w:sz w:val="18"/>
                <w:szCs w:val="18"/>
              </w:rPr>
            </w:pPr>
            <w:r>
              <w:rPr>
                <w:rFonts w:hint="eastAsia" w:cs="宋体" w:asciiTheme="minorEastAsia" w:hAnsiTheme="minorEastAsia"/>
                <w:b/>
                <w:sz w:val="18"/>
                <w:szCs w:val="18"/>
              </w:rPr>
              <w:t>序号</w:t>
            </w:r>
          </w:p>
        </w:tc>
        <w:tc>
          <w:tcPr>
            <w:tcW w:w="1189" w:type="dxa"/>
            <w:shd w:val="clear" w:color="auto" w:fill="FFFFFF"/>
            <w:tcMar>
              <w:top w:w="15" w:type="dxa"/>
              <w:left w:w="15" w:type="dxa"/>
              <w:right w:w="15" w:type="dxa"/>
            </w:tcMar>
            <w:vAlign w:val="center"/>
          </w:tcPr>
          <w:p>
            <w:pPr>
              <w:spacing w:line="360" w:lineRule="auto"/>
              <w:jc w:val="center"/>
              <w:rPr>
                <w:rFonts w:cs="宋体" w:asciiTheme="minorEastAsia" w:hAnsiTheme="minorEastAsia"/>
                <w:b/>
                <w:sz w:val="18"/>
                <w:szCs w:val="18"/>
              </w:rPr>
            </w:pPr>
            <w:r>
              <w:rPr>
                <w:rFonts w:hint="eastAsia" w:cs="宋体" w:asciiTheme="minorEastAsia" w:hAnsiTheme="minorEastAsia"/>
                <w:b/>
                <w:sz w:val="18"/>
                <w:szCs w:val="18"/>
              </w:rPr>
              <w:t>产品名称</w:t>
            </w:r>
          </w:p>
        </w:tc>
        <w:tc>
          <w:tcPr>
            <w:tcW w:w="6674" w:type="dxa"/>
            <w:shd w:val="clear" w:color="auto" w:fill="FFFFFF"/>
            <w:tcMar>
              <w:top w:w="15" w:type="dxa"/>
              <w:left w:w="15" w:type="dxa"/>
              <w:right w:w="15" w:type="dxa"/>
            </w:tcMar>
            <w:vAlign w:val="center"/>
          </w:tcPr>
          <w:p>
            <w:pPr>
              <w:spacing w:line="360" w:lineRule="auto"/>
              <w:jc w:val="center"/>
              <w:rPr>
                <w:rFonts w:cs="宋体" w:asciiTheme="minorEastAsia" w:hAnsiTheme="minorEastAsia"/>
                <w:b/>
                <w:szCs w:val="21"/>
              </w:rPr>
            </w:pPr>
            <w:r>
              <w:rPr>
                <w:rFonts w:hint="eastAsia" w:cs="宋体" w:asciiTheme="minorEastAsia" w:hAnsiTheme="minorEastAsia"/>
                <w:b/>
                <w:szCs w:val="21"/>
              </w:rPr>
              <w:t>产品说明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0" w:hRule="atLeast"/>
          <w:jc w:val="center"/>
        </w:trPr>
        <w:tc>
          <w:tcPr>
            <w:tcW w:w="8679" w:type="dxa"/>
            <w:gridSpan w:val="3"/>
            <w:noWrap/>
            <w:tcMar>
              <w:top w:w="15" w:type="dxa"/>
              <w:left w:w="15" w:type="dxa"/>
              <w:right w:w="15" w:type="dxa"/>
            </w:tcMar>
            <w:vAlign w:val="center"/>
          </w:tcPr>
          <w:p>
            <w:pPr>
              <w:spacing w:line="360" w:lineRule="auto"/>
              <w:rPr>
                <w:rFonts w:cs="宋体" w:asciiTheme="minorEastAsia" w:hAnsiTheme="minorEastAsia"/>
                <w:sz w:val="18"/>
                <w:szCs w:val="18"/>
              </w:rPr>
            </w:pPr>
            <w:r>
              <w:rPr>
                <w:rFonts w:hint="eastAsia" w:cs="宋体" w:asciiTheme="minorEastAsia" w:hAnsiTheme="minorEastAsia"/>
                <w:sz w:val="18"/>
                <w:szCs w:val="18"/>
              </w:rPr>
              <w:t>一、网络系统（推荐品牌：华为，锐捷，华三）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0" w:hRule="atLeast"/>
          <w:jc w:val="center"/>
        </w:trPr>
        <w:tc>
          <w:tcPr>
            <w:tcW w:w="816" w:type="dxa"/>
            <w:shd w:val="clear" w:color="auto" w:fill="auto"/>
            <w:noWrap/>
            <w:tcMar>
              <w:top w:w="15" w:type="dxa"/>
              <w:left w:w="15" w:type="dxa"/>
              <w:right w:w="15" w:type="dxa"/>
            </w:tcMar>
            <w:vAlign w:val="center"/>
          </w:tcPr>
          <w:p>
            <w:pPr>
              <w:spacing w:line="360" w:lineRule="auto"/>
              <w:jc w:val="center"/>
              <w:rPr>
                <w:rFonts w:cs="宋体" w:asciiTheme="minorEastAsia" w:hAnsiTheme="minorEastAsia"/>
                <w:sz w:val="18"/>
                <w:szCs w:val="18"/>
              </w:rPr>
            </w:pPr>
            <w:r>
              <w:rPr>
                <w:rFonts w:hint="eastAsia" w:cs="宋体" w:asciiTheme="minorEastAsia" w:hAnsiTheme="minorEastAsia"/>
                <w:sz w:val="18"/>
                <w:szCs w:val="18"/>
              </w:rPr>
              <w:t>1</w:t>
            </w:r>
          </w:p>
        </w:tc>
        <w:tc>
          <w:tcPr>
            <w:tcW w:w="1189" w:type="dxa"/>
            <w:shd w:val="clear" w:color="auto" w:fill="auto"/>
            <w:noWrap/>
            <w:tcMar>
              <w:top w:w="15" w:type="dxa"/>
              <w:left w:w="15" w:type="dxa"/>
              <w:right w:w="15" w:type="dxa"/>
            </w:tcMar>
            <w:vAlign w:val="center"/>
          </w:tcPr>
          <w:p>
            <w:pPr>
              <w:spacing w:line="360" w:lineRule="auto"/>
              <w:jc w:val="center"/>
              <w:rPr>
                <w:rFonts w:cs="宋体" w:asciiTheme="minorEastAsia" w:hAnsiTheme="minorEastAsia"/>
                <w:sz w:val="18"/>
                <w:szCs w:val="18"/>
              </w:rPr>
            </w:pPr>
            <w:r>
              <w:rPr>
                <w:rFonts w:hint="eastAsia" w:cs="宋体" w:asciiTheme="minorEastAsia" w:hAnsiTheme="minorEastAsia"/>
                <w:sz w:val="18"/>
                <w:szCs w:val="18"/>
              </w:rPr>
              <w:t>面板AP</w:t>
            </w:r>
          </w:p>
        </w:tc>
        <w:tc>
          <w:tcPr>
            <w:tcW w:w="6674" w:type="dxa"/>
            <w:shd w:val="clear" w:color="auto" w:fill="FFFFFF"/>
            <w:tcMar>
              <w:top w:w="15" w:type="dxa"/>
              <w:left w:w="15" w:type="dxa"/>
              <w:right w:w="15" w:type="dxa"/>
            </w:tcMar>
            <w:vAlign w:val="center"/>
          </w:tcPr>
          <w:p>
            <w:pPr>
              <w:pStyle w:val="15"/>
              <w:numPr>
                <w:ilvl w:val="0"/>
                <w:numId w:val="2"/>
              </w:numPr>
              <w:spacing w:line="360" w:lineRule="auto"/>
              <w:ind w:firstLineChars="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支持标准的802.11ax协议，可同时工作在802.11ax和802.11a/b/g/n/ac模式；</w:t>
            </w:r>
          </w:p>
          <w:p>
            <w:pPr>
              <w:pStyle w:val="15"/>
              <w:numPr>
                <w:ilvl w:val="0"/>
                <w:numId w:val="2"/>
              </w:numPr>
              <w:spacing w:line="360" w:lineRule="auto"/>
              <w:ind w:firstLineChars="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整机最高接入速率≥1.775Gbps；</w:t>
            </w:r>
          </w:p>
          <w:p>
            <w:pPr>
              <w:pStyle w:val="15"/>
              <w:numPr>
                <w:ilvl w:val="0"/>
                <w:numId w:val="2"/>
              </w:numPr>
              <w:spacing w:line="360" w:lineRule="auto"/>
              <w:ind w:firstLineChars="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整机最大支持4条空间流；</w:t>
            </w:r>
          </w:p>
          <w:p>
            <w:pPr>
              <w:pStyle w:val="15"/>
              <w:numPr>
                <w:ilvl w:val="0"/>
                <w:numId w:val="2"/>
              </w:numPr>
              <w:spacing w:line="360" w:lineRule="auto"/>
              <w:ind w:firstLineChars="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支持1024QAM调制解调方式；</w:t>
            </w:r>
          </w:p>
          <w:p>
            <w:pPr>
              <w:pStyle w:val="15"/>
              <w:numPr>
                <w:ilvl w:val="0"/>
                <w:numId w:val="2"/>
              </w:numPr>
              <w:spacing w:line="360" w:lineRule="auto"/>
              <w:ind w:firstLineChars="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支持多种形态安装，可壁挂、吸顶或嵌入86面板内安装；</w:t>
            </w:r>
          </w:p>
          <w:p>
            <w:pPr>
              <w:pStyle w:val="15"/>
              <w:numPr>
                <w:ilvl w:val="0"/>
                <w:numId w:val="2"/>
              </w:numPr>
              <w:spacing w:line="360" w:lineRule="auto"/>
              <w:ind w:firstLineChars="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设备能适应较恶劣的高低温气候；</w:t>
            </w:r>
          </w:p>
          <w:p>
            <w:pPr>
              <w:pStyle w:val="15"/>
              <w:numPr>
                <w:ilvl w:val="0"/>
                <w:numId w:val="2"/>
              </w:numPr>
              <w:spacing w:line="360" w:lineRule="auto"/>
              <w:ind w:firstLineChars="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为保证用电安全与电源的易获得性，提供DC12V本地电源供电接口。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0" w:hRule="atLeast"/>
          <w:jc w:val="center"/>
        </w:trPr>
        <w:tc>
          <w:tcPr>
            <w:tcW w:w="816" w:type="dxa"/>
            <w:shd w:val="clear" w:color="auto" w:fill="auto"/>
            <w:noWrap/>
            <w:tcMar>
              <w:top w:w="15" w:type="dxa"/>
              <w:left w:w="15" w:type="dxa"/>
              <w:right w:w="15" w:type="dxa"/>
            </w:tcMar>
            <w:vAlign w:val="center"/>
          </w:tcPr>
          <w:p>
            <w:pPr>
              <w:spacing w:line="360" w:lineRule="auto"/>
              <w:jc w:val="center"/>
              <w:rPr>
                <w:rFonts w:cs="宋体" w:asciiTheme="minorEastAsia" w:hAnsiTheme="minorEastAsia"/>
                <w:sz w:val="18"/>
                <w:szCs w:val="18"/>
              </w:rPr>
            </w:pPr>
            <w:r>
              <w:rPr>
                <w:rFonts w:hint="eastAsia" w:cs="宋体" w:asciiTheme="minorEastAsia" w:hAnsiTheme="minorEastAsia"/>
                <w:sz w:val="18"/>
                <w:szCs w:val="18"/>
              </w:rPr>
              <w:t>2</w:t>
            </w:r>
          </w:p>
        </w:tc>
        <w:tc>
          <w:tcPr>
            <w:tcW w:w="1189" w:type="dxa"/>
            <w:shd w:val="clear" w:color="auto" w:fill="auto"/>
            <w:noWrap/>
            <w:tcMar>
              <w:top w:w="15" w:type="dxa"/>
              <w:left w:w="15" w:type="dxa"/>
              <w:right w:w="15" w:type="dxa"/>
            </w:tcMar>
            <w:vAlign w:val="center"/>
          </w:tcPr>
          <w:p>
            <w:pPr>
              <w:spacing w:line="360" w:lineRule="auto"/>
              <w:jc w:val="center"/>
              <w:rPr>
                <w:rFonts w:cs="宋体" w:asciiTheme="minorEastAsia" w:hAnsiTheme="minorEastAsia"/>
                <w:sz w:val="18"/>
                <w:szCs w:val="18"/>
              </w:rPr>
            </w:pPr>
            <w:r>
              <w:rPr>
                <w:rFonts w:hint="eastAsia" w:cs="宋体" w:asciiTheme="minorEastAsia" w:hAnsiTheme="minorEastAsia"/>
                <w:sz w:val="18"/>
                <w:szCs w:val="18"/>
              </w:rPr>
              <w:t>高密AP</w:t>
            </w:r>
          </w:p>
        </w:tc>
        <w:tc>
          <w:tcPr>
            <w:tcW w:w="6674" w:type="dxa"/>
            <w:shd w:val="clear" w:color="auto" w:fill="FFFFFF"/>
            <w:tcMar>
              <w:top w:w="15" w:type="dxa"/>
              <w:left w:w="15" w:type="dxa"/>
              <w:right w:w="15" w:type="dxa"/>
            </w:tcMar>
            <w:vAlign w:val="center"/>
          </w:tcPr>
          <w:p>
            <w:pPr>
              <w:pStyle w:val="15"/>
              <w:numPr>
                <w:ilvl w:val="0"/>
                <w:numId w:val="3"/>
              </w:numPr>
              <w:spacing w:line="360" w:lineRule="auto"/>
              <w:ind w:firstLineChars="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支持802.11ax标准；</w:t>
            </w:r>
          </w:p>
          <w:p>
            <w:pPr>
              <w:pStyle w:val="15"/>
              <w:numPr>
                <w:ilvl w:val="0"/>
                <w:numId w:val="3"/>
              </w:numPr>
              <w:spacing w:line="360" w:lineRule="auto"/>
              <w:ind w:firstLineChars="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采用三路双频设计，采用硬件独立的三射频设计，一个2.4GHz射频卡，两个5GHz射频卡，支持两张射频卡同时工作在5G频段；</w:t>
            </w:r>
          </w:p>
          <w:p>
            <w:pPr>
              <w:pStyle w:val="15"/>
              <w:numPr>
                <w:ilvl w:val="0"/>
                <w:numId w:val="3"/>
              </w:numPr>
              <w:spacing w:line="360" w:lineRule="auto"/>
              <w:ind w:firstLineChars="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5GHz 单射频支持4*4 MU-MIMO，且单射频最大接入速率≥4.8Gbps；</w:t>
            </w:r>
          </w:p>
          <w:p>
            <w:pPr>
              <w:pStyle w:val="15"/>
              <w:numPr>
                <w:ilvl w:val="0"/>
                <w:numId w:val="3"/>
              </w:numPr>
              <w:spacing w:line="360" w:lineRule="auto"/>
              <w:ind w:firstLineChars="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整机最大接入速率≥6.8Gbps；</w:t>
            </w:r>
          </w:p>
          <w:p>
            <w:pPr>
              <w:pStyle w:val="15"/>
              <w:numPr>
                <w:ilvl w:val="0"/>
                <w:numId w:val="3"/>
              </w:numPr>
              <w:spacing w:line="360" w:lineRule="auto"/>
              <w:ind w:firstLineChars="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支持802.11ax 160MHz工作频宽；</w:t>
            </w:r>
          </w:p>
          <w:p>
            <w:pPr>
              <w:pStyle w:val="15"/>
              <w:numPr>
                <w:ilvl w:val="0"/>
                <w:numId w:val="3"/>
              </w:numPr>
              <w:spacing w:line="360" w:lineRule="auto"/>
              <w:ind w:firstLineChars="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支持802.3at/802.3af/本地DC48V电源三种供电模式；</w:t>
            </w:r>
          </w:p>
          <w:p>
            <w:pPr>
              <w:pStyle w:val="15"/>
              <w:numPr>
                <w:ilvl w:val="0"/>
                <w:numId w:val="3"/>
              </w:numPr>
              <w:spacing w:line="360" w:lineRule="auto"/>
              <w:ind w:firstLineChars="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支持蓝牙5.0（内置）；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0" w:hRule="atLeast"/>
          <w:jc w:val="center"/>
        </w:trPr>
        <w:tc>
          <w:tcPr>
            <w:tcW w:w="816" w:type="dxa"/>
            <w:shd w:val="clear" w:color="auto" w:fill="auto"/>
            <w:noWrap/>
            <w:tcMar>
              <w:top w:w="15" w:type="dxa"/>
              <w:left w:w="15" w:type="dxa"/>
              <w:right w:w="15" w:type="dxa"/>
            </w:tcMar>
            <w:vAlign w:val="center"/>
          </w:tcPr>
          <w:p>
            <w:pPr>
              <w:spacing w:line="360" w:lineRule="auto"/>
              <w:jc w:val="center"/>
              <w:rPr>
                <w:rFonts w:cs="宋体" w:asciiTheme="minorEastAsia" w:hAnsiTheme="minorEastAsia"/>
                <w:sz w:val="18"/>
                <w:szCs w:val="18"/>
              </w:rPr>
            </w:pPr>
            <w:r>
              <w:rPr>
                <w:rFonts w:hint="eastAsia" w:cs="宋体" w:asciiTheme="minorEastAsia" w:hAnsiTheme="minorEastAsia"/>
                <w:sz w:val="18"/>
                <w:szCs w:val="18"/>
              </w:rPr>
              <w:t>3</w:t>
            </w:r>
          </w:p>
        </w:tc>
        <w:tc>
          <w:tcPr>
            <w:tcW w:w="1189" w:type="dxa"/>
            <w:shd w:val="clear" w:color="auto" w:fill="FFFFFF"/>
            <w:tcMar>
              <w:top w:w="15" w:type="dxa"/>
              <w:left w:w="15" w:type="dxa"/>
              <w:right w:w="15" w:type="dxa"/>
            </w:tcMar>
            <w:vAlign w:val="center"/>
          </w:tcPr>
          <w:p>
            <w:pPr>
              <w:spacing w:line="360" w:lineRule="auto"/>
              <w:jc w:val="center"/>
              <w:rPr>
                <w:rFonts w:cs="宋体" w:asciiTheme="minorEastAsia" w:hAnsiTheme="minorEastAsia"/>
                <w:sz w:val="18"/>
                <w:szCs w:val="18"/>
              </w:rPr>
            </w:pPr>
            <w:r>
              <w:rPr>
                <w:rFonts w:hint="eastAsia" w:cs="宋体" w:asciiTheme="minorEastAsia" w:hAnsiTheme="minorEastAsia"/>
                <w:sz w:val="18"/>
                <w:szCs w:val="18"/>
              </w:rPr>
              <w:t>放装AP</w:t>
            </w:r>
          </w:p>
        </w:tc>
        <w:tc>
          <w:tcPr>
            <w:tcW w:w="6674" w:type="dxa"/>
            <w:shd w:val="clear" w:color="auto" w:fill="FFFFFF"/>
            <w:tcMar>
              <w:top w:w="15" w:type="dxa"/>
              <w:left w:w="15" w:type="dxa"/>
              <w:right w:w="15" w:type="dxa"/>
            </w:tcMar>
            <w:vAlign w:val="center"/>
          </w:tcPr>
          <w:p>
            <w:pPr>
              <w:pStyle w:val="15"/>
              <w:numPr>
                <w:ilvl w:val="0"/>
                <w:numId w:val="4"/>
              </w:numPr>
              <w:spacing w:line="360" w:lineRule="auto"/>
              <w:ind w:firstLineChars="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支持标准的802.11ax协议,采用双路双频设计，可同时工作在802.11ax和802.11a/b/g/n/ac模式；</w:t>
            </w:r>
          </w:p>
          <w:p>
            <w:pPr>
              <w:pStyle w:val="15"/>
              <w:numPr>
                <w:ilvl w:val="0"/>
                <w:numId w:val="4"/>
              </w:numPr>
              <w:spacing w:line="360" w:lineRule="auto"/>
              <w:ind w:firstLineChars="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支持4条空间流,单频最大接入速率≥1.2Gbps,整机最大接入速率≥1.7Gbps；</w:t>
            </w:r>
          </w:p>
          <w:p>
            <w:pPr>
              <w:pStyle w:val="15"/>
              <w:numPr>
                <w:ilvl w:val="0"/>
                <w:numId w:val="4"/>
              </w:numPr>
              <w:spacing w:line="360" w:lineRule="auto"/>
              <w:ind w:firstLineChars="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支持mu-mimo特性；</w:t>
            </w:r>
          </w:p>
          <w:p>
            <w:pPr>
              <w:pStyle w:val="15"/>
              <w:numPr>
                <w:ilvl w:val="0"/>
                <w:numId w:val="4"/>
              </w:numPr>
              <w:spacing w:line="360" w:lineRule="auto"/>
              <w:ind w:firstLineChars="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发射功率≤20dBm ；</w:t>
            </w:r>
          </w:p>
          <w:p>
            <w:pPr>
              <w:pStyle w:val="15"/>
              <w:numPr>
                <w:ilvl w:val="0"/>
                <w:numId w:val="4"/>
              </w:numPr>
              <w:spacing w:line="360" w:lineRule="auto"/>
              <w:ind w:firstLineChars="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1个10/100/1000Base-T以太网口，支持PoE供电；</w:t>
            </w:r>
          </w:p>
          <w:p>
            <w:pPr>
              <w:pStyle w:val="15"/>
              <w:numPr>
                <w:ilvl w:val="0"/>
                <w:numId w:val="4"/>
              </w:numPr>
              <w:spacing w:line="360" w:lineRule="auto"/>
              <w:ind w:firstLineChars="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内置蓝牙5.0；</w:t>
            </w:r>
          </w:p>
          <w:p>
            <w:pPr>
              <w:pStyle w:val="15"/>
              <w:numPr>
                <w:ilvl w:val="0"/>
                <w:numId w:val="4"/>
              </w:numPr>
              <w:spacing w:line="360" w:lineRule="auto"/>
              <w:ind w:firstLineChars="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支持802.3af/本地电源DC48V两种供电模式，整机功耗小于13w；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0" w:hRule="atLeast"/>
          <w:jc w:val="center"/>
        </w:trPr>
        <w:tc>
          <w:tcPr>
            <w:tcW w:w="816" w:type="dxa"/>
            <w:shd w:val="clear" w:color="auto" w:fill="auto"/>
            <w:noWrap/>
            <w:tcMar>
              <w:top w:w="15" w:type="dxa"/>
              <w:left w:w="15" w:type="dxa"/>
              <w:right w:w="15" w:type="dxa"/>
            </w:tcMar>
            <w:vAlign w:val="center"/>
          </w:tcPr>
          <w:p>
            <w:pPr>
              <w:spacing w:line="360" w:lineRule="auto"/>
              <w:jc w:val="center"/>
              <w:rPr>
                <w:rFonts w:cs="宋体" w:asciiTheme="minorEastAsia" w:hAnsiTheme="minorEastAsia"/>
                <w:sz w:val="18"/>
                <w:szCs w:val="18"/>
              </w:rPr>
            </w:pPr>
            <w:r>
              <w:rPr>
                <w:rFonts w:hint="eastAsia" w:cs="宋体" w:asciiTheme="minorEastAsia" w:hAnsiTheme="minorEastAsia"/>
                <w:sz w:val="18"/>
                <w:szCs w:val="18"/>
              </w:rPr>
              <w:t>4</w:t>
            </w:r>
          </w:p>
        </w:tc>
        <w:tc>
          <w:tcPr>
            <w:tcW w:w="1189" w:type="dxa"/>
            <w:shd w:val="clear" w:color="auto" w:fill="FFFFFF"/>
            <w:tcMar>
              <w:top w:w="15" w:type="dxa"/>
              <w:left w:w="15" w:type="dxa"/>
              <w:right w:w="15" w:type="dxa"/>
            </w:tcMar>
            <w:vAlign w:val="center"/>
          </w:tcPr>
          <w:p>
            <w:pPr>
              <w:spacing w:line="360" w:lineRule="auto"/>
              <w:jc w:val="center"/>
              <w:rPr>
                <w:rFonts w:cs="宋体" w:asciiTheme="minorEastAsia" w:hAnsiTheme="minorEastAsia"/>
                <w:sz w:val="18"/>
                <w:szCs w:val="18"/>
              </w:rPr>
            </w:pPr>
            <w:r>
              <w:rPr>
                <w:rFonts w:hint="eastAsia" w:cs="宋体" w:asciiTheme="minorEastAsia" w:hAnsiTheme="minorEastAsia"/>
                <w:sz w:val="18"/>
                <w:szCs w:val="18"/>
              </w:rPr>
              <w:t>室分AP</w:t>
            </w:r>
          </w:p>
        </w:tc>
        <w:tc>
          <w:tcPr>
            <w:tcW w:w="6674" w:type="dxa"/>
            <w:shd w:val="clear" w:color="auto" w:fill="FFFFFF"/>
            <w:tcMar>
              <w:top w:w="15" w:type="dxa"/>
              <w:left w:w="15" w:type="dxa"/>
              <w:right w:w="15" w:type="dxa"/>
            </w:tcMar>
            <w:vAlign w:val="center"/>
          </w:tcPr>
          <w:p>
            <w:pPr>
              <w:pStyle w:val="15"/>
              <w:numPr>
                <w:ilvl w:val="0"/>
                <w:numId w:val="5"/>
              </w:numPr>
              <w:spacing w:line="360" w:lineRule="auto"/>
              <w:ind w:firstLineChars="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双路双频，支持802.11b/g/n/ax和802.11a/n/ac/ax同时工作，整机最大≥1775Mbps接入速率；</w:t>
            </w:r>
          </w:p>
          <w:p>
            <w:pPr>
              <w:pStyle w:val="15"/>
              <w:numPr>
                <w:ilvl w:val="0"/>
                <w:numId w:val="5"/>
              </w:numPr>
              <w:spacing w:line="360" w:lineRule="auto"/>
              <w:ind w:firstLineChars="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整机4条空间流；2.4G频段最高支持2条空间流、5G频段最高支持2条空间流；</w:t>
            </w:r>
          </w:p>
          <w:p>
            <w:pPr>
              <w:pStyle w:val="15"/>
              <w:numPr>
                <w:ilvl w:val="0"/>
                <w:numId w:val="5"/>
              </w:numPr>
              <w:spacing w:line="360" w:lineRule="auto"/>
              <w:ind w:firstLineChars="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支持1024QAM调制解调方式；</w:t>
            </w:r>
          </w:p>
          <w:p>
            <w:pPr>
              <w:pStyle w:val="15"/>
              <w:numPr>
                <w:ilvl w:val="0"/>
                <w:numId w:val="5"/>
              </w:numPr>
              <w:spacing w:line="360" w:lineRule="auto"/>
              <w:ind w:firstLineChars="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支持mu-mimo特性；</w:t>
            </w:r>
          </w:p>
          <w:p>
            <w:pPr>
              <w:pStyle w:val="15"/>
              <w:numPr>
                <w:ilvl w:val="0"/>
                <w:numId w:val="5"/>
              </w:numPr>
              <w:spacing w:line="360" w:lineRule="auto"/>
              <w:ind w:firstLineChars="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1个上联千兆电口，支持poe供电，4个千兆下联LAN口，可下联有线终端；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0" w:hRule="atLeast"/>
          <w:jc w:val="center"/>
        </w:trPr>
        <w:tc>
          <w:tcPr>
            <w:tcW w:w="816" w:type="dxa"/>
            <w:shd w:val="clear" w:color="auto" w:fill="auto"/>
            <w:noWrap/>
            <w:tcMar>
              <w:top w:w="15" w:type="dxa"/>
              <w:left w:w="15" w:type="dxa"/>
              <w:right w:w="15" w:type="dxa"/>
            </w:tcMar>
            <w:vAlign w:val="center"/>
          </w:tcPr>
          <w:p>
            <w:pPr>
              <w:spacing w:line="360" w:lineRule="auto"/>
              <w:jc w:val="center"/>
              <w:rPr>
                <w:rFonts w:cs="宋体" w:asciiTheme="minorEastAsia" w:hAnsiTheme="minorEastAsia"/>
                <w:sz w:val="18"/>
                <w:szCs w:val="18"/>
              </w:rPr>
            </w:pPr>
            <w:r>
              <w:rPr>
                <w:rFonts w:hint="eastAsia" w:cs="宋体" w:asciiTheme="minorEastAsia" w:hAnsiTheme="minorEastAsia"/>
                <w:sz w:val="18"/>
                <w:szCs w:val="18"/>
              </w:rPr>
              <w:t>5</w:t>
            </w:r>
          </w:p>
        </w:tc>
        <w:tc>
          <w:tcPr>
            <w:tcW w:w="1189" w:type="dxa"/>
            <w:shd w:val="clear" w:color="auto" w:fill="FFFFFF"/>
            <w:tcMar>
              <w:top w:w="15" w:type="dxa"/>
              <w:left w:w="15" w:type="dxa"/>
              <w:right w:w="15" w:type="dxa"/>
            </w:tcMar>
            <w:vAlign w:val="center"/>
          </w:tcPr>
          <w:p>
            <w:pPr>
              <w:spacing w:line="360" w:lineRule="auto"/>
              <w:jc w:val="center"/>
              <w:rPr>
                <w:rFonts w:cs="宋体" w:asciiTheme="minorEastAsia" w:hAnsiTheme="minorEastAsia"/>
                <w:sz w:val="18"/>
                <w:szCs w:val="18"/>
              </w:rPr>
            </w:pPr>
            <w:r>
              <w:rPr>
                <w:rFonts w:hint="eastAsia" w:cs="宋体" w:asciiTheme="minorEastAsia" w:hAnsiTheme="minorEastAsia"/>
                <w:sz w:val="18"/>
                <w:szCs w:val="18"/>
              </w:rPr>
              <w:t>室分主机</w:t>
            </w:r>
          </w:p>
        </w:tc>
        <w:tc>
          <w:tcPr>
            <w:tcW w:w="6674" w:type="dxa"/>
            <w:shd w:val="clear" w:color="auto" w:fill="FFFFFF"/>
            <w:tcMar>
              <w:top w:w="15" w:type="dxa"/>
              <w:left w:w="15" w:type="dxa"/>
              <w:right w:w="15" w:type="dxa"/>
            </w:tcMar>
            <w:vAlign w:val="center"/>
          </w:tcPr>
          <w:p>
            <w:pPr>
              <w:pStyle w:val="15"/>
              <w:numPr>
                <w:ilvl w:val="0"/>
                <w:numId w:val="6"/>
              </w:numPr>
              <w:spacing w:line="360" w:lineRule="auto"/>
              <w:ind w:firstLineChars="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24个千兆POE端口，可以支持24个微AP并对微AP进行远程供电；</w:t>
            </w:r>
          </w:p>
          <w:p>
            <w:pPr>
              <w:pStyle w:val="15"/>
              <w:numPr>
                <w:ilvl w:val="0"/>
                <w:numId w:val="6"/>
              </w:numPr>
              <w:spacing w:line="360" w:lineRule="auto"/>
              <w:ind w:firstLineChars="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上行原生千兆电口≥4个，万兆SFP+光口≥4个；</w:t>
            </w:r>
          </w:p>
          <w:p>
            <w:pPr>
              <w:pStyle w:val="15"/>
              <w:numPr>
                <w:ilvl w:val="0"/>
                <w:numId w:val="6"/>
              </w:numPr>
              <w:spacing w:line="360" w:lineRule="auto"/>
              <w:ind w:firstLineChars="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支持简化部署，主AP和微AP可以通过网线链接传输数据，最大支持100米网线部署；</w:t>
            </w:r>
          </w:p>
          <w:p>
            <w:pPr>
              <w:pStyle w:val="15"/>
              <w:numPr>
                <w:ilvl w:val="0"/>
                <w:numId w:val="6"/>
              </w:numPr>
              <w:spacing w:line="360" w:lineRule="auto"/>
              <w:ind w:firstLineChars="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支持有线/无线逻辑隔离和基于不同vlan的数据转发；</w:t>
            </w:r>
          </w:p>
          <w:p>
            <w:pPr>
              <w:pStyle w:val="15"/>
              <w:numPr>
                <w:ilvl w:val="0"/>
                <w:numId w:val="6"/>
              </w:numPr>
              <w:spacing w:line="360" w:lineRule="auto"/>
              <w:ind w:firstLineChars="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支持对无线终端负载均衡，支持本地数据转发；</w:t>
            </w:r>
          </w:p>
          <w:p>
            <w:pPr>
              <w:pStyle w:val="15"/>
              <w:numPr>
                <w:ilvl w:val="0"/>
                <w:numId w:val="6"/>
              </w:numPr>
              <w:spacing w:line="360" w:lineRule="auto"/>
              <w:ind w:firstLineChars="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支持组播，支持IGMP Snooping；</w:t>
            </w:r>
          </w:p>
          <w:p>
            <w:pPr>
              <w:pStyle w:val="15"/>
              <w:numPr>
                <w:ilvl w:val="0"/>
                <w:numId w:val="6"/>
              </w:numPr>
              <w:spacing w:line="360" w:lineRule="auto"/>
              <w:ind w:firstLineChars="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支持iOS、安卓和windows等主流智能终端操作系统自动识别，提供适应屏幕比例与尺寸的认证页面，实现轻松访问。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0" w:hRule="atLeast"/>
          <w:jc w:val="center"/>
        </w:trPr>
        <w:tc>
          <w:tcPr>
            <w:tcW w:w="816" w:type="dxa"/>
            <w:shd w:val="clear" w:color="auto" w:fill="auto"/>
            <w:noWrap/>
            <w:tcMar>
              <w:top w:w="15" w:type="dxa"/>
              <w:left w:w="15" w:type="dxa"/>
              <w:right w:w="15" w:type="dxa"/>
            </w:tcMar>
            <w:vAlign w:val="center"/>
          </w:tcPr>
          <w:p>
            <w:pPr>
              <w:spacing w:line="360" w:lineRule="auto"/>
              <w:jc w:val="center"/>
              <w:rPr>
                <w:rFonts w:cs="宋体" w:asciiTheme="minorEastAsia" w:hAnsiTheme="minorEastAsia"/>
                <w:sz w:val="18"/>
                <w:szCs w:val="18"/>
              </w:rPr>
            </w:pPr>
            <w:r>
              <w:rPr>
                <w:rFonts w:hint="eastAsia" w:cs="宋体" w:asciiTheme="minorEastAsia" w:hAnsiTheme="minorEastAsia"/>
                <w:sz w:val="18"/>
                <w:szCs w:val="18"/>
              </w:rPr>
              <w:t>6</w:t>
            </w:r>
          </w:p>
        </w:tc>
        <w:tc>
          <w:tcPr>
            <w:tcW w:w="1189" w:type="dxa"/>
            <w:shd w:val="clear" w:color="auto" w:fill="FFFFFF"/>
            <w:tcMar>
              <w:top w:w="15" w:type="dxa"/>
              <w:left w:w="15" w:type="dxa"/>
              <w:right w:w="15" w:type="dxa"/>
            </w:tcMar>
            <w:vAlign w:val="center"/>
          </w:tcPr>
          <w:p>
            <w:pPr>
              <w:spacing w:line="360" w:lineRule="auto"/>
              <w:jc w:val="center"/>
              <w:rPr>
                <w:rFonts w:cs="宋体" w:asciiTheme="minorEastAsia" w:hAnsiTheme="minorEastAsia"/>
                <w:sz w:val="18"/>
                <w:szCs w:val="18"/>
              </w:rPr>
            </w:pPr>
            <w:r>
              <w:rPr>
                <w:rFonts w:hint="eastAsia" w:cs="宋体" w:asciiTheme="minorEastAsia" w:hAnsiTheme="minorEastAsia"/>
                <w:sz w:val="18"/>
                <w:szCs w:val="18"/>
              </w:rPr>
              <w:t>POE  ONU</w:t>
            </w:r>
          </w:p>
        </w:tc>
        <w:tc>
          <w:tcPr>
            <w:tcW w:w="6674" w:type="dxa"/>
            <w:shd w:val="clear" w:color="auto" w:fill="FFFFFF"/>
            <w:tcMar>
              <w:top w:w="15" w:type="dxa"/>
              <w:left w:w="15" w:type="dxa"/>
              <w:right w:w="15" w:type="dxa"/>
            </w:tcMar>
            <w:vAlign w:val="center"/>
          </w:tcPr>
          <w:p>
            <w:pPr>
              <w:spacing w:line="360" w:lineRule="auto"/>
              <w:rPr>
                <w:rFonts w:cs="宋体" w:asciiTheme="minorEastAsia" w:hAnsiTheme="minorEastAsia"/>
                <w:sz w:val="18"/>
                <w:szCs w:val="18"/>
              </w:rPr>
            </w:pPr>
            <w:r>
              <w:rPr>
                <w:rFonts w:hint="eastAsia" w:cs="宋体" w:asciiTheme="minorEastAsia" w:hAnsiTheme="minorEastAsia"/>
                <w:sz w:val="18"/>
                <w:szCs w:val="18"/>
              </w:rPr>
              <w:t>8口千兆POE  ONU，上联10GE PON口，上下对称；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816" w:type="dxa"/>
            <w:noWrap/>
            <w:tcMar>
              <w:top w:w="15" w:type="dxa"/>
              <w:left w:w="15" w:type="dxa"/>
              <w:right w:w="15" w:type="dxa"/>
            </w:tcMar>
            <w:vAlign w:val="center"/>
          </w:tcPr>
          <w:p>
            <w:pPr>
              <w:spacing w:line="360" w:lineRule="auto"/>
              <w:jc w:val="center"/>
              <w:rPr>
                <w:rFonts w:cs="宋体" w:asciiTheme="minorEastAsia" w:hAnsiTheme="minorEastAsia"/>
                <w:sz w:val="18"/>
                <w:szCs w:val="18"/>
              </w:rPr>
            </w:pPr>
            <w:r>
              <w:rPr>
                <w:rFonts w:hint="eastAsia" w:cs="宋体" w:asciiTheme="minorEastAsia" w:hAnsiTheme="minorEastAsia"/>
                <w:sz w:val="18"/>
                <w:szCs w:val="18"/>
              </w:rPr>
              <w:t>7</w:t>
            </w:r>
          </w:p>
        </w:tc>
        <w:tc>
          <w:tcPr>
            <w:tcW w:w="1189" w:type="dxa"/>
            <w:noWrap/>
            <w:tcMar>
              <w:top w:w="15" w:type="dxa"/>
              <w:left w:w="15" w:type="dxa"/>
              <w:right w:w="15" w:type="dxa"/>
            </w:tcMar>
            <w:vAlign w:val="center"/>
          </w:tcPr>
          <w:p>
            <w:pPr>
              <w:spacing w:line="360" w:lineRule="auto"/>
              <w:jc w:val="center"/>
              <w:rPr>
                <w:rFonts w:cs="宋体" w:asciiTheme="minorEastAsia" w:hAnsiTheme="minorEastAsia"/>
                <w:sz w:val="18"/>
                <w:szCs w:val="18"/>
              </w:rPr>
            </w:pPr>
            <w:r>
              <w:rPr>
                <w:rFonts w:hint="eastAsia" w:cs="宋体" w:asciiTheme="minorEastAsia" w:hAnsiTheme="minorEastAsia"/>
                <w:sz w:val="18"/>
                <w:szCs w:val="18"/>
              </w:rPr>
              <w:t>万兆光纤模块</w:t>
            </w:r>
          </w:p>
        </w:tc>
        <w:tc>
          <w:tcPr>
            <w:tcW w:w="6674" w:type="dxa"/>
            <w:noWrap/>
            <w:tcMar>
              <w:top w:w="15" w:type="dxa"/>
              <w:left w:w="15" w:type="dxa"/>
              <w:right w:w="15" w:type="dxa"/>
            </w:tcMar>
            <w:vAlign w:val="center"/>
          </w:tcPr>
          <w:p>
            <w:pPr>
              <w:spacing w:line="360" w:lineRule="auto"/>
              <w:rPr>
                <w:rFonts w:cs="宋体" w:asciiTheme="minorEastAsia" w:hAnsiTheme="minorEastAsia"/>
                <w:sz w:val="18"/>
                <w:szCs w:val="18"/>
              </w:rPr>
            </w:pPr>
            <w:r>
              <w:rPr>
                <w:rFonts w:hint="eastAsia" w:cs="宋体" w:asciiTheme="minorEastAsia" w:hAnsiTheme="minorEastAsia"/>
                <w:sz w:val="18"/>
                <w:szCs w:val="18"/>
              </w:rPr>
              <w:t>万兆单模，10KM；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0" w:hRule="atLeast"/>
          <w:jc w:val="center"/>
        </w:trPr>
        <w:tc>
          <w:tcPr>
            <w:tcW w:w="816" w:type="dxa"/>
            <w:noWrap/>
            <w:tcMar>
              <w:top w:w="15" w:type="dxa"/>
              <w:left w:w="15" w:type="dxa"/>
              <w:right w:w="15" w:type="dxa"/>
            </w:tcMar>
            <w:vAlign w:val="center"/>
          </w:tcPr>
          <w:p>
            <w:pPr>
              <w:spacing w:line="360" w:lineRule="auto"/>
              <w:jc w:val="center"/>
              <w:rPr>
                <w:rFonts w:cs="宋体" w:asciiTheme="minorEastAsia" w:hAnsiTheme="minorEastAsia"/>
                <w:sz w:val="18"/>
                <w:szCs w:val="18"/>
              </w:rPr>
            </w:pPr>
            <w:r>
              <w:rPr>
                <w:rFonts w:hint="eastAsia" w:cs="宋体" w:asciiTheme="minorEastAsia" w:hAnsiTheme="minorEastAsia"/>
                <w:sz w:val="18"/>
                <w:szCs w:val="18"/>
              </w:rPr>
              <w:t>8</w:t>
            </w:r>
          </w:p>
        </w:tc>
        <w:tc>
          <w:tcPr>
            <w:tcW w:w="1189" w:type="dxa"/>
            <w:noWrap/>
            <w:tcMar>
              <w:top w:w="15" w:type="dxa"/>
              <w:left w:w="15" w:type="dxa"/>
              <w:right w:w="15" w:type="dxa"/>
            </w:tcMar>
            <w:vAlign w:val="center"/>
          </w:tcPr>
          <w:p>
            <w:pPr>
              <w:spacing w:line="360" w:lineRule="auto"/>
              <w:jc w:val="center"/>
              <w:rPr>
                <w:rFonts w:cs="宋体" w:asciiTheme="minorEastAsia" w:hAnsiTheme="minorEastAsia"/>
                <w:sz w:val="18"/>
                <w:szCs w:val="18"/>
              </w:rPr>
            </w:pPr>
            <w:r>
              <w:rPr>
                <w:rFonts w:hint="eastAsia" w:cs="宋体" w:asciiTheme="minorEastAsia" w:hAnsiTheme="minorEastAsia"/>
                <w:sz w:val="18"/>
                <w:szCs w:val="18"/>
              </w:rPr>
              <w:t xml:space="preserve">24口 千兆ONU </w:t>
            </w:r>
          </w:p>
        </w:tc>
        <w:tc>
          <w:tcPr>
            <w:tcW w:w="6674" w:type="dxa"/>
            <w:tcMar>
              <w:top w:w="15" w:type="dxa"/>
              <w:left w:w="15" w:type="dxa"/>
              <w:right w:w="15" w:type="dxa"/>
            </w:tcMar>
            <w:vAlign w:val="center"/>
          </w:tcPr>
          <w:p>
            <w:pPr>
              <w:spacing w:line="360" w:lineRule="auto"/>
              <w:rPr>
                <w:rFonts w:cs="宋体" w:asciiTheme="minorEastAsia" w:hAnsiTheme="minorEastAsia"/>
                <w:sz w:val="18"/>
                <w:szCs w:val="18"/>
              </w:rPr>
            </w:pPr>
            <w:r>
              <w:rPr>
                <w:rFonts w:hint="eastAsia" w:cs="宋体" w:asciiTheme="minorEastAsia" w:hAnsiTheme="minorEastAsia"/>
                <w:sz w:val="18"/>
                <w:szCs w:val="18"/>
              </w:rPr>
              <w:t>24口千兆 ONU，上联10GE PON口，上下对称；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0" w:hRule="atLeast"/>
          <w:jc w:val="center"/>
        </w:trPr>
        <w:tc>
          <w:tcPr>
            <w:tcW w:w="816" w:type="dxa"/>
            <w:noWrap/>
            <w:tcMar>
              <w:top w:w="15" w:type="dxa"/>
              <w:left w:w="15" w:type="dxa"/>
              <w:right w:w="15" w:type="dxa"/>
            </w:tcMar>
            <w:vAlign w:val="center"/>
          </w:tcPr>
          <w:p>
            <w:pPr>
              <w:spacing w:line="360" w:lineRule="auto"/>
              <w:jc w:val="center"/>
              <w:rPr>
                <w:rFonts w:cs="宋体" w:asciiTheme="minorEastAsia" w:hAnsiTheme="minorEastAsia"/>
                <w:sz w:val="18"/>
                <w:szCs w:val="18"/>
              </w:rPr>
            </w:pPr>
            <w:r>
              <w:rPr>
                <w:rFonts w:hint="eastAsia" w:cs="宋体" w:asciiTheme="minorEastAsia" w:hAnsiTheme="minorEastAsia"/>
                <w:sz w:val="18"/>
                <w:szCs w:val="18"/>
              </w:rPr>
              <w:t>9</w:t>
            </w:r>
          </w:p>
        </w:tc>
        <w:tc>
          <w:tcPr>
            <w:tcW w:w="1189" w:type="dxa"/>
            <w:noWrap/>
            <w:tcMar>
              <w:top w:w="15" w:type="dxa"/>
              <w:left w:w="15" w:type="dxa"/>
              <w:right w:w="15" w:type="dxa"/>
            </w:tcMar>
            <w:vAlign w:val="center"/>
          </w:tcPr>
          <w:p>
            <w:pPr>
              <w:spacing w:line="360" w:lineRule="auto"/>
              <w:jc w:val="center"/>
              <w:rPr>
                <w:rFonts w:cs="宋体" w:asciiTheme="minorEastAsia" w:hAnsiTheme="minorEastAsia"/>
                <w:sz w:val="18"/>
                <w:szCs w:val="18"/>
              </w:rPr>
            </w:pPr>
            <w:r>
              <w:rPr>
                <w:rFonts w:hint="eastAsia" w:cs="宋体" w:asciiTheme="minorEastAsia" w:hAnsiTheme="minorEastAsia"/>
                <w:sz w:val="18"/>
                <w:szCs w:val="18"/>
              </w:rPr>
              <w:t>OLT汇聚交换机</w:t>
            </w:r>
          </w:p>
        </w:tc>
        <w:tc>
          <w:tcPr>
            <w:tcW w:w="6674" w:type="dxa"/>
            <w:tcMar>
              <w:top w:w="15" w:type="dxa"/>
              <w:left w:w="15" w:type="dxa"/>
              <w:right w:w="15" w:type="dxa"/>
            </w:tcMar>
            <w:vAlign w:val="center"/>
          </w:tcPr>
          <w:p>
            <w:pPr>
              <w:spacing w:line="360" w:lineRule="auto"/>
              <w:rPr>
                <w:rFonts w:cs="宋体" w:asciiTheme="minorEastAsia" w:hAnsiTheme="minorEastAsia"/>
                <w:sz w:val="18"/>
                <w:szCs w:val="18"/>
              </w:rPr>
            </w:pPr>
            <w:r>
              <w:rPr>
                <w:rFonts w:hint="eastAsia" w:cs="宋体" w:asciiTheme="minorEastAsia" w:hAnsiTheme="minorEastAsia"/>
                <w:sz w:val="18"/>
                <w:szCs w:val="18"/>
              </w:rPr>
              <w:t>总共配置10个以上业务槽位；配置相应PON口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816" w:type="dxa"/>
            <w:noWrap/>
            <w:tcMar>
              <w:top w:w="15" w:type="dxa"/>
              <w:left w:w="15" w:type="dxa"/>
              <w:right w:w="15" w:type="dxa"/>
            </w:tcMar>
            <w:vAlign w:val="center"/>
          </w:tcPr>
          <w:p>
            <w:pPr>
              <w:spacing w:line="360" w:lineRule="auto"/>
              <w:jc w:val="center"/>
              <w:rPr>
                <w:rFonts w:cs="宋体" w:asciiTheme="minorEastAsia" w:hAnsiTheme="minorEastAsia"/>
                <w:sz w:val="18"/>
                <w:szCs w:val="18"/>
              </w:rPr>
            </w:pPr>
            <w:r>
              <w:rPr>
                <w:rFonts w:hint="eastAsia" w:cs="宋体" w:asciiTheme="minorEastAsia" w:hAnsiTheme="minorEastAsia"/>
                <w:sz w:val="18"/>
                <w:szCs w:val="18"/>
              </w:rPr>
              <w:t>10</w:t>
            </w:r>
          </w:p>
        </w:tc>
        <w:tc>
          <w:tcPr>
            <w:tcW w:w="1189" w:type="dxa"/>
            <w:noWrap/>
            <w:tcMar>
              <w:top w:w="15" w:type="dxa"/>
              <w:left w:w="15" w:type="dxa"/>
              <w:right w:w="15" w:type="dxa"/>
            </w:tcMar>
            <w:vAlign w:val="center"/>
          </w:tcPr>
          <w:p>
            <w:pPr>
              <w:spacing w:line="360" w:lineRule="auto"/>
              <w:jc w:val="center"/>
              <w:rPr>
                <w:rFonts w:cs="宋体" w:asciiTheme="minorEastAsia" w:hAnsiTheme="minorEastAsia"/>
                <w:sz w:val="18"/>
                <w:szCs w:val="18"/>
              </w:rPr>
            </w:pPr>
            <w:r>
              <w:rPr>
                <w:rFonts w:hint="eastAsia" w:cs="宋体" w:asciiTheme="minorEastAsia" w:hAnsiTheme="minorEastAsia"/>
                <w:sz w:val="18"/>
                <w:szCs w:val="18"/>
              </w:rPr>
              <w:t>无线控制器授权</w:t>
            </w:r>
          </w:p>
        </w:tc>
        <w:tc>
          <w:tcPr>
            <w:tcW w:w="6674" w:type="dxa"/>
            <w:noWrap/>
            <w:tcMar>
              <w:top w:w="15" w:type="dxa"/>
              <w:left w:w="15" w:type="dxa"/>
              <w:right w:w="15" w:type="dxa"/>
            </w:tcMar>
            <w:vAlign w:val="center"/>
          </w:tcPr>
          <w:p>
            <w:pPr>
              <w:spacing w:line="360" w:lineRule="auto"/>
              <w:rPr>
                <w:rFonts w:cs="宋体" w:asciiTheme="minorEastAsia" w:hAnsiTheme="minorEastAsia"/>
                <w:sz w:val="18"/>
                <w:szCs w:val="18"/>
              </w:rPr>
            </w:pPr>
            <w:r>
              <w:rPr>
                <w:rFonts w:hint="eastAsia" w:cs="宋体" w:asciiTheme="minorEastAsia" w:hAnsiTheme="minorEastAsia"/>
                <w:sz w:val="18"/>
                <w:szCs w:val="18"/>
              </w:rPr>
              <w:t>无线AP管理授权满足雷锋校区信息点布点需求，无缝兼容原有无线控制器；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816" w:type="dxa"/>
            <w:noWrap/>
            <w:tcMar>
              <w:top w:w="15" w:type="dxa"/>
              <w:left w:w="15" w:type="dxa"/>
              <w:right w:w="15" w:type="dxa"/>
            </w:tcMar>
            <w:vAlign w:val="center"/>
          </w:tcPr>
          <w:p>
            <w:pPr>
              <w:spacing w:line="360" w:lineRule="auto"/>
              <w:jc w:val="center"/>
              <w:rPr>
                <w:rFonts w:cs="宋体" w:asciiTheme="minorEastAsia" w:hAnsiTheme="minorEastAsia"/>
                <w:sz w:val="18"/>
                <w:szCs w:val="18"/>
              </w:rPr>
            </w:pPr>
            <w:r>
              <w:rPr>
                <w:rFonts w:hint="eastAsia" w:cs="宋体" w:asciiTheme="minorEastAsia" w:hAnsiTheme="minorEastAsia"/>
                <w:sz w:val="18"/>
                <w:szCs w:val="18"/>
              </w:rPr>
              <w:t>11</w:t>
            </w:r>
          </w:p>
        </w:tc>
        <w:tc>
          <w:tcPr>
            <w:tcW w:w="1189" w:type="dxa"/>
            <w:noWrap/>
            <w:tcMar>
              <w:top w:w="15" w:type="dxa"/>
              <w:left w:w="15" w:type="dxa"/>
              <w:right w:w="15" w:type="dxa"/>
            </w:tcMar>
            <w:vAlign w:val="center"/>
          </w:tcPr>
          <w:p>
            <w:pPr>
              <w:spacing w:line="360" w:lineRule="auto"/>
              <w:jc w:val="center"/>
              <w:rPr>
                <w:rFonts w:cs="宋体" w:asciiTheme="minorEastAsia" w:hAnsiTheme="minorEastAsia"/>
                <w:sz w:val="18"/>
                <w:szCs w:val="18"/>
              </w:rPr>
            </w:pPr>
            <w:r>
              <w:rPr>
                <w:rFonts w:hint="eastAsia" w:cs="宋体" w:asciiTheme="minorEastAsia" w:hAnsiTheme="minorEastAsia"/>
                <w:sz w:val="18"/>
                <w:szCs w:val="18"/>
              </w:rPr>
              <w:t>校区大汇聚</w:t>
            </w:r>
          </w:p>
        </w:tc>
        <w:tc>
          <w:tcPr>
            <w:tcW w:w="6674" w:type="dxa"/>
            <w:noWrap/>
            <w:tcMar>
              <w:top w:w="15" w:type="dxa"/>
              <w:left w:w="15" w:type="dxa"/>
              <w:right w:w="15" w:type="dxa"/>
            </w:tcMar>
            <w:vAlign w:val="center"/>
          </w:tcPr>
          <w:p>
            <w:pPr>
              <w:spacing w:line="360" w:lineRule="auto"/>
              <w:rPr>
                <w:rFonts w:cs="宋体" w:asciiTheme="minorEastAsia" w:hAnsiTheme="minorEastAsia"/>
                <w:sz w:val="18"/>
                <w:szCs w:val="18"/>
              </w:rPr>
            </w:pPr>
            <w:r>
              <w:rPr>
                <w:rFonts w:hint="eastAsia" w:cs="宋体" w:asciiTheme="minorEastAsia" w:hAnsiTheme="minorEastAsia"/>
                <w:sz w:val="18"/>
                <w:szCs w:val="18"/>
              </w:rPr>
              <w:t>槽位：8个（包含2个引擎槽位和6个业务槽位）；配置双引擎；配置冗余电源和风扇；配置1块32端口万兆光接口板和1块24端口千兆光/12端口千兆电复用接口板；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8679" w:type="dxa"/>
            <w:gridSpan w:val="3"/>
            <w:noWrap/>
            <w:tcMar>
              <w:top w:w="15" w:type="dxa"/>
              <w:left w:w="15" w:type="dxa"/>
              <w:right w:w="15" w:type="dxa"/>
            </w:tcMar>
            <w:vAlign w:val="center"/>
          </w:tcPr>
          <w:p>
            <w:pPr>
              <w:spacing w:line="360" w:lineRule="auto"/>
              <w:rPr>
                <w:rFonts w:cs="宋体" w:asciiTheme="minorEastAsia" w:hAnsiTheme="minorEastAsia"/>
                <w:sz w:val="18"/>
                <w:szCs w:val="18"/>
              </w:rPr>
            </w:pPr>
            <w:r>
              <w:rPr>
                <w:rFonts w:hint="eastAsia" w:cs="宋体" w:asciiTheme="minorEastAsia" w:hAnsiTheme="minorEastAsia"/>
                <w:sz w:val="18"/>
                <w:szCs w:val="18"/>
              </w:rPr>
              <w:t>二、综合布线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816" w:type="dxa"/>
            <w:noWrap/>
            <w:tcMar>
              <w:top w:w="15" w:type="dxa"/>
              <w:left w:w="15" w:type="dxa"/>
              <w:right w:w="15" w:type="dxa"/>
            </w:tcMar>
            <w:vAlign w:val="center"/>
          </w:tcPr>
          <w:p>
            <w:pPr>
              <w:spacing w:line="360" w:lineRule="auto"/>
              <w:jc w:val="center"/>
              <w:rPr>
                <w:rFonts w:cs="宋体" w:asciiTheme="minorEastAsia" w:hAnsiTheme="minorEastAsia"/>
                <w:sz w:val="18"/>
                <w:szCs w:val="18"/>
              </w:rPr>
            </w:pPr>
            <w:r>
              <w:rPr>
                <w:rFonts w:hint="eastAsia" w:cs="宋体" w:asciiTheme="minorEastAsia" w:hAnsiTheme="minorEastAsia"/>
                <w:sz w:val="18"/>
                <w:szCs w:val="18"/>
              </w:rPr>
              <w:t>1</w:t>
            </w:r>
          </w:p>
        </w:tc>
        <w:tc>
          <w:tcPr>
            <w:tcW w:w="1189" w:type="dxa"/>
            <w:noWrap/>
            <w:tcMar>
              <w:top w:w="15" w:type="dxa"/>
              <w:left w:w="15" w:type="dxa"/>
              <w:right w:w="15" w:type="dxa"/>
            </w:tcMar>
            <w:vAlign w:val="center"/>
          </w:tcPr>
          <w:p>
            <w:pPr>
              <w:spacing w:line="360" w:lineRule="auto"/>
              <w:jc w:val="center"/>
              <w:rPr>
                <w:rFonts w:cs="宋体" w:asciiTheme="minorEastAsia" w:hAnsiTheme="minorEastAsia"/>
                <w:sz w:val="18"/>
                <w:szCs w:val="18"/>
              </w:rPr>
            </w:pPr>
            <w:r>
              <w:rPr>
                <w:rFonts w:hint="eastAsia" w:cs="宋体" w:asciiTheme="minorEastAsia" w:hAnsiTheme="minorEastAsia"/>
                <w:sz w:val="18"/>
                <w:szCs w:val="18"/>
              </w:rPr>
              <w:t>86底盒</w:t>
            </w:r>
          </w:p>
        </w:tc>
        <w:tc>
          <w:tcPr>
            <w:tcW w:w="6674" w:type="dxa"/>
            <w:noWrap/>
            <w:tcMar>
              <w:top w:w="15" w:type="dxa"/>
              <w:left w:w="15" w:type="dxa"/>
              <w:right w:w="15" w:type="dxa"/>
            </w:tcMar>
            <w:vAlign w:val="center"/>
          </w:tcPr>
          <w:p>
            <w:pPr>
              <w:spacing w:line="360" w:lineRule="auto"/>
              <w:rPr>
                <w:rFonts w:cs="宋体" w:asciiTheme="minorEastAsia" w:hAnsiTheme="minorEastAsia"/>
                <w:sz w:val="18"/>
                <w:szCs w:val="18"/>
              </w:rPr>
            </w:pPr>
            <w:r>
              <w:rPr>
                <w:rFonts w:hint="eastAsia" w:cs="宋体" w:asciiTheme="minorEastAsia" w:hAnsiTheme="minorEastAsia"/>
                <w:sz w:val="18"/>
                <w:szCs w:val="18"/>
              </w:rPr>
              <w:t>86底盒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816" w:type="dxa"/>
            <w:vAlign w:val="center"/>
          </w:tcPr>
          <w:p>
            <w:pPr>
              <w:spacing w:line="360" w:lineRule="auto"/>
              <w:jc w:val="center"/>
              <w:rPr>
                <w:rFonts w:cs="宋体" w:asciiTheme="minorEastAsia" w:hAnsiTheme="minorEastAsia"/>
                <w:sz w:val="18"/>
                <w:szCs w:val="18"/>
              </w:rPr>
            </w:pPr>
            <w:r>
              <w:rPr>
                <w:rFonts w:hint="eastAsia" w:cs="宋体" w:asciiTheme="minorEastAsia" w:hAnsiTheme="minorEastAsia"/>
                <w:sz w:val="18"/>
                <w:szCs w:val="18"/>
              </w:rPr>
              <w:t>2</w:t>
            </w:r>
          </w:p>
        </w:tc>
        <w:tc>
          <w:tcPr>
            <w:tcW w:w="1189" w:type="dxa"/>
            <w:vAlign w:val="center"/>
          </w:tcPr>
          <w:p>
            <w:pPr>
              <w:spacing w:line="360" w:lineRule="auto"/>
              <w:jc w:val="center"/>
              <w:rPr>
                <w:rFonts w:cs="宋体" w:asciiTheme="minorEastAsia" w:hAnsiTheme="minorEastAsia"/>
                <w:sz w:val="18"/>
                <w:szCs w:val="18"/>
              </w:rPr>
            </w:pPr>
            <w:r>
              <w:rPr>
                <w:rFonts w:hint="eastAsia" w:cs="宋体" w:asciiTheme="minorEastAsia" w:hAnsiTheme="minorEastAsia"/>
                <w:sz w:val="18"/>
                <w:szCs w:val="18"/>
              </w:rPr>
              <w:t>单口面板</w:t>
            </w:r>
          </w:p>
        </w:tc>
        <w:tc>
          <w:tcPr>
            <w:tcW w:w="6674" w:type="dxa"/>
            <w:vAlign w:val="center"/>
          </w:tcPr>
          <w:p>
            <w:pPr>
              <w:spacing w:line="360" w:lineRule="auto"/>
              <w:rPr>
                <w:rFonts w:cs="宋体" w:asciiTheme="minorEastAsia" w:hAnsiTheme="minorEastAsia"/>
                <w:sz w:val="18"/>
                <w:szCs w:val="18"/>
              </w:rPr>
            </w:pPr>
            <w:r>
              <w:rPr>
                <w:rFonts w:hint="eastAsia" w:cs="宋体" w:asciiTheme="minorEastAsia" w:hAnsiTheme="minorEastAsia"/>
                <w:sz w:val="18"/>
                <w:szCs w:val="18"/>
              </w:rPr>
              <w:t>86面板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816" w:type="dxa"/>
            <w:vAlign w:val="center"/>
          </w:tcPr>
          <w:p>
            <w:pPr>
              <w:spacing w:line="360" w:lineRule="auto"/>
              <w:jc w:val="center"/>
              <w:rPr>
                <w:rFonts w:cs="宋体" w:asciiTheme="minorEastAsia" w:hAnsiTheme="minorEastAsia"/>
                <w:sz w:val="18"/>
                <w:szCs w:val="18"/>
              </w:rPr>
            </w:pPr>
            <w:r>
              <w:rPr>
                <w:rFonts w:hint="eastAsia" w:cs="宋体" w:asciiTheme="minorEastAsia" w:hAnsiTheme="minorEastAsia"/>
                <w:sz w:val="18"/>
                <w:szCs w:val="18"/>
              </w:rPr>
              <w:t>3</w:t>
            </w:r>
          </w:p>
        </w:tc>
        <w:tc>
          <w:tcPr>
            <w:tcW w:w="1189" w:type="dxa"/>
            <w:vAlign w:val="center"/>
          </w:tcPr>
          <w:p>
            <w:pPr>
              <w:spacing w:line="360" w:lineRule="auto"/>
              <w:jc w:val="center"/>
              <w:rPr>
                <w:rFonts w:cs="宋体" w:asciiTheme="minorEastAsia" w:hAnsiTheme="minorEastAsia"/>
                <w:sz w:val="18"/>
                <w:szCs w:val="18"/>
              </w:rPr>
            </w:pPr>
            <w:r>
              <w:rPr>
                <w:rFonts w:hint="eastAsia" w:cs="宋体" w:asciiTheme="minorEastAsia" w:hAnsiTheme="minorEastAsia"/>
                <w:sz w:val="18"/>
                <w:szCs w:val="18"/>
              </w:rPr>
              <w:t>网络模块</w:t>
            </w:r>
          </w:p>
        </w:tc>
        <w:tc>
          <w:tcPr>
            <w:tcW w:w="6674" w:type="dxa"/>
            <w:vAlign w:val="center"/>
          </w:tcPr>
          <w:p>
            <w:pPr>
              <w:spacing w:line="360" w:lineRule="auto"/>
              <w:rPr>
                <w:rFonts w:cs="宋体" w:asciiTheme="minorEastAsia" w:hAnsiTheme="minorEastAsia"/>
                <w:sz w:val="18"/>
                <w:szCs w:val="18"/>
              </w:rPr>
            </w:pPr>
            <w:r>
              <w:rPr>
                <w:rFonts w:hint="eastAsia" w:cs="宋体" w:asciiTheme="minorEastAsia" w:hAnsiTheme="minorEastAsia"/>
                <w:sz w:val="18"/>
                <w:szCs w:val="18"/>
              </w:rPr>
              <w:t>六类非屏蔽网络模块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816" w:type="dxa"/>
            <w:vAlign w:val="center"/>
          </w:tcPr>
          <w:p>
            <w:pPr>
              <w:spacing w:line="360" w:lineRule="auto"/>
              <w:jc w:val="center"/>
              <w:rPr>
                <w:rFonts w:cs="宋体" w:asciiTheme="minorEastAsia" w:hAnsiTheme="minorEastAsia"/>
                <w:sz w:val="18"/>
                <w:szCs w:val="18"/>
              </w:rPr>
            </w:pPr>
            <w:r>
              <w:rPr>
                <w:rFonts w:hint="eastAsia" w:cs="宋体" w:asciiTheme="minorEastAsia" w:hAnsiTheme="minorEastAsia"/>
                <w:sz w:val="18"/>
                <w:szCs w:val="18"/>
              </w:rPr>
              <w:t>4</w:t>
            </w:r>
          </w:p>
        </w:tc>
        <w:tc>
          <w:tcPr>
            <w:tcW w:w="1189" w:type="dxa"/>
            <w:vAlign w:val="center"/>
          </w:tcPr>
          <w:p>
            <w:pPr>
              <w:spacing w:line="360" w:lineRule="auto"/>
              <w:jc w:val="center"/>
              <w:rPr>
                <w:rFonts w:cs="宋体" w:asciiTheme="minorEastAsia" w:hAnsiTheme="minorEastAsia"/>
                <w:sz w:val="18"/>
                <w:szCs w:val="18"/>
              </w:rPr>
            </w:pPr>
            <w:r>
              <w:rPr>
                <w:rFonts w:hint="eastAsia" w:cs="宋体" w:asciiTheme="minorEastAsia" w:hAnsiTheme="minorEastAsia"/>
                <w:sz w:val="18"/>
                <w:szCs w:val="18"/>
              </w:rPr>
              <w:t>六类非屏蔽双绞线</w:t>
            </w:r>
          </w:p>
        </w:tc>
        <w:tc>
          <w:tcPr>
            <w:tcW w:w="6674" w:type="dxa"/>
            <w:vAlign w:val="center"/>
          </w:tcPr>
          <w:p>
            <w:pPr>
              <w:spacing w:line="360" w:lineRule="auto"/>
              <w:rPr>
                <w:rFonts w:cs="宋体" w:asciiTheme="minorEastAsia" w:hAnsiTheme="minorEastAsia"/>
                <w:sz w:val="18"/>
                <w:szCs w:val="18"/>
              </w:rPr>
            </w:pPr>
            <w:r>
              <w:rPr>
                <w:rFonts w:hint="eastAsia" w:cs="宋体" w:asciiTheme="minorEastAsia" w:hAnsiTheme="minorEastAsia"/>
                <w:sz w:val="18"/>
                <w:szCs w:val="18"/>
              </w:rPr>
              <w:t>六类非屏蔽双绞线，305米/箱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816" w:type="dxa"/>
            <w:vAlign w:val="center"/>
          </w:tcPr>
          <w:p>
            <w:pPr>
              <w:spacing w:line="360" w:lineRule="auto"/>
              <w:jc w:val="center"/>
              <w:rPr>
                <w:rFonts w:cs="宋体" w:asciiTheme="minorEastAsia" w:hAnsiTheme="minorEastAsia"/>
                <w:sz w:val="18"/>
                <w:szCs w:val="18"/>
              </w:rPr>
            </w:pPr>
            <w:r>
              <w:rPr>
                <w:rFonts w:hint="eastAsia" w:cs="宋体" w:asciiTheme="minorEastAsia" w:hAnsiTheme="minorEastAsia"/>
                <w:sz w:val="18"/>
                <w:szCs w:val="18"/>
              </w:rPr>
              <w:t>5</w:t>
            </w:r>
          </w:p>
        </w:tc>
        <w:tc>
          <w:tcPr>
            <w:tcW w:w="1189" w:type="dxa"/>
            <w:vAlign w:val="center"/>
          </w:tcPr>
          <w:p>
            <w:pPr>
              <w:spacing w:line="360" w:lineRule="auto"/>
              <w:jc w:val="center"/>
              <w:rPr>
                <w:rFonts w:cs="宋体" w:asciiTheme="minorEastAsia" w:hAnsiTheme="minorEastAsia"/>
                <w:sz w:val="18"/>
                <w:szCs w:val="18"/>
              </w:rPr>
            </w:pPr>
            <w:r>
              <w:rPr>
                <w:rFonts w:hint="eastAsia" w:cs="宋体" w:asciiTheme="minorEastAsia" w:hAnsiTheme="minorEastAsia"/>
                <w:sz w:val="18"/>
                <w:szCs w:val="18"/>
              </w:rPr>
              <w:t>pvc管</w:t>
            </w:r>
          </w:p>
        </w:tc>
        <w:tc>
          <w:tcPr>
            <w:tcW w:w="6674" w:type="dxa"/>
            <w:vAlign w:val="center"/>
          </w:tcPr>
          <w:p>
            <w:pPr>
              <w:spacing w:line="360" w:lineRule="auto"/>
              <w:rPr>
                <w:rFonts w:cs="宋体" w:asciiTheme="minorEastAsia" w:hAnsiTheme="minorEastAsia"/>
                <w:sz w:val="18"/>
                <w:szCs w:val="18"/>
              </w:rPr>
            </w:pPr>
            <w:r>
              <w:rPr>
                <w:rFonts w:hint="eastAsia" w:cs="宋体" w:asciiTheme="minorEastAsia" w:hAnsiTheme="minorEastAsia"/>
                <w:sz w:val="18"/>
                <w:szCs w:val="18"/>
              </w:rPr>
              <w:t>20pvc管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816" w:type="dxa"/>
            <w:vAlign w:val="center"/>
          </w:tcPr>
          <w:p>
            <w:pPr>
              <w:spacing w:line="360" w:lineRule="auto"/>
              <w:jc w:val="center"/>
              <w:rPr>
                <w:rFonts w:cs="宋体" w:asciiTheme="minorEastAsia" w:hAnsiTheme="minorEastAsia"/>
                <w:sz w:val="18"/>
                <w:szCs w:val="18"/>
              </w:rPr>
            </w:pPr>
            <w:r>
              <w:rPr>
                <w:rFonts w:hint="eastAsia" w:cs="宋体" w:asciiTheme="minorEastAsia" w:hAnsiTheme="minorEastAsia"/>
                <w:sz w:val="18"/>
                <w:szCs w:val="18"/>
              </w:rPr>
              <w:t>6</w:t>
            </w:r>
          </w:p>
        </w:tc>
        <w:tc>
          <w:tcPr>
            <w:tcW w:w="1189" w:type="dxa"/>
            <w:vAlign w:val="center"/>
          </w:tcPr>
          <w:p>
            <w:pPr>
              <w:spacing w:line="360" w:lineRule="auto"/>
              <w:jc w:val="center"/>
              <w:rPr>
                <w:rFonts w:cs="宋体" w:asciiTheme="minorEastAsia" w:hAnsiTheme="minorEastAsia"/>
                <w:sz w:val="18"/>
                <w:szCs w:val="18"/>
              </w:rPr>
            </w:pPr>
            <w:r>
              <w:rPr>
                <w:rFonts w:hint="eastAsia" w:cs="宋体" w:asciiTheme="minorEastAsia" w:hAnsiTheme="minorEastAsia"/>
                <w:sz w:val="18"/>
                <w:szCs w:val="18"/>
              </w:rPr>
              <w:t>水平桥架</w:t>
            </w:r>
          </w:p>
        </w:tc>
        <w:tc>
          <w:tcPr>
            <w:tcW w:w="6674" w:type="dxa"/>
            <w:vAlign w:val="center"/>
          </w:tcPr>
          <w:p>
            <w:pPr>
              <w:spacing w:line="360" w:lineRule="auto"/>
              <w:rPr>
                <w:rFonts w:cs="宋体" w:asciiTheme="minorEastAsia" w:hAnsiTheme="minorEastAsia"/>
                <w:sz w:val="18"/>
                <w:szCs w:val="18"/>
              </w:rPr>
            </w:pPr>
            <w:r>
              <w:rPr>
                <w:rFonts w:hint="eastAsia" w:cs="宋体" w:asciiTheme="minorEastAsia" w:hAnsiTheme="minorEastAsia"/>
                <w:sz w:val="18"/>
                <w:szCs w:val="18"/>
              </w:rPr>
              <w:t>水平桥架，100*100*1，含配件，如建筑方已部署，可利用，无需提供；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816" w:type="dxa"/>
            <w:vAlign w:val="center"/>
          </w:tcPr>
          <w:p>
            <w:pPr>
              <w:spacing w:line="360" w:lineRule="auto"/>
              <w:jc w:val="center"/>
              <w:rPr>
                <w:rFonts w:cs="宋体" w:asciiTheme="minorEastAsia" w:hAnsiTheme="minorEastAsia"/>
                <w:sz w:val="18"/>
                <w:szCs w:val="18"/>
              </w:rPr>
            </w:pPr>
            <w:r>
              <w:rPr>
                <w:rFonts w:hint="eastAsia" w:cs="宋体" w:asciiTheme="minorEastAsia" w:hAnsiTheme="minorEastAsia"/>
                <w:sz w:val="18"/>
                <w:szCs w:val="18"/>
              </w:rPr>
              <w:t>7</w:t>
            </w:r>
          </w:p>
        </w:tc>
        <w:tc>
          <w:tcPr>
            <w:tcW w:w="1189" w:type="dxa"/>
            <w:vAlign w:val="center"/>
          </w:tcPr>
          <w:p>
            <w:pPr>
              <w:spacing w:line="360" w:lineRule="auto"/>
              <w:jc w:val="center"/>
              <w:rPr>
                <w:rFonts w:cs="宋体" w:asciiTheme="minorEastAsia" w:hAnsiTheme="minorEastAsia"/>
                <w:sz w:val="18"/>
                <w:szCs w:val="18"/>
              </w:rPr>
            </w:pPr>
            <w:r>
              <w:rPr>
                <w:rFonts w:hint="eastAsia" w:cs="宋体" w:asciiTheme="minorEastAsia" w:hAnsiTheme="minorEastAsia"/>
                <w:sz w:val="18"/>
                <w:szCs w:val="18"/>
              </w:rPr>
              <w:t>垂直桥架</w:t>
            </w:r>
          </w:p>
        </w:tc>
        <w:tc>
          <w:tcPr>
            <w:tcW w:w="6674" w:type="dxa"/>
            <w:vAlign w:val="center"/>
          </w:tcPr>
          <w:p>
            <w:pPr>
              <w:spacing w:line="360" w:lineRule="auto"/>
              <w:rPr>
                <w:rFonts w:cs="宋体" w:asciiTheme="minorEastAsia" w:hAnsiTheme="minorEastAsia"/>
                <w:sz w:val="18"/>
                <w:szCs w:val="18"/>
              </w:rPr>
            </w:pPr>
            <w:r>
              <w:rPr>
                <w:rFonts w:hint="eastAsia" w:cs="宋体" w:asciiTheme="minorEastAsia" w:hAnsiTheme="minorEastAsia"/>
                <w:sz w:val="18"/>
                <w:szCs w:val="18"/>
              </w:rPr>
              <w:t>水平及垂直桥架，100*50，含配件，如建筑方已部署，可利用，无需提供；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816" w:type="dxa"/>
            <w:vAlign w:val="center"/>
          </w:tcPr>
          <w:p>
            <w:pPr>
              <w:spacing w:line="360" w:lineRule="auto"/>
              <w:jc w:val="center"/>
              <w:rPr>
                <w:rFonts w:cs="宋体" w:asciiTheme="minorEastAsia" w:hAnsiTheme="minorEastAsia"/>
                <w:sz w:val="18"/>
                <w:szCs w:val="18"/>
              </w:rPr>
            </w:pPr>
            <w:r>
              <w:rPr>
                <w:rFonts w:hint="eastAsia" w:cs="宋体" w:asciiTheme="minorEastAsia" w:hAnsiTheme="minorEastAsia"/>
                <w:sz w:val="18"/>
                <w:szCs w:val="18"/>
              </w:rPr>
              <w:t>8</w:t>
            </w:r>
          </w:p>
        </w:tc>
        <w:tc>
          <w:tcPr>
            <w:tcW w:w="1189" w:type="dxa"/>
            <w:vAlign w:val="center"/>
          </w:tcPr>
          <w:p>
            <w:pPr>
              <w:spacing w:line="360" w:lineRule="auto"/>
              <w:jc w:val="center"/>
              <w:rPr>
                <w:rFonts w:cs="宋体" w:asciiTheme="minorEastAsia" w:hAnsiTheme="minorEastAsia"/>
                <w:sz w:val="18"/>
                <w:szCs w:val="18"/>
              </w:rPr>
            </w:pPr>
            <w:r>
              <w:rPr>
                <w:rFonts w:hint="eastAsia" w:cs="宋体" w:asciiTheme="minorEastAsia" w:hAnsiTheme="minorEastAsia"/>
                <w:sz w:val="18"/>
                <w:szCs w:val="18"/>
              </w:rPr>
              <w:t>6U壁挂机柜</w:t>
            </w:r>
          </w:p>
        </w:tc>
        <w:tc>
          <w:tcPr>
            <w:tcW w:w="6674" w:type="dxa"/>
            <w:vAlign w:val="center"/>
          </w:tcPr>
          <w:p>
            <w:pPr>
              <w:spacing w:line="360" w:lineRule="auto"/>
              <w:rPr>
                <w:rFonts w:cs="宋体" w:asciiTheme="minorEastAsia" w:hAnsiTheme="minorEastAsia"/>
                <w:sz w:val="18"/>
                <w:szCs w:val="18"/>
              </w:rPr>
            </w:pPr>
            <w:r>
              <w:rPr>
                <w:rFonts w:hint="eastAsia" w:cs="宋体" w:asciiTheme="minorEastAsia" w:hAnsiTheme="minorEastAsia"/>
                <w:sz w:val="18"/>
                <w:szCs w:val="18"/>
              </w:rPr>
              <w:t>壁挂机柜，6U，含电源排插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816" w:type="dxa"/>
            <w:vAlign w:val="center"/>
          </w:tcPr>
          <w:p>
            <w:pPr>
              <w:spacing w:line="360" w:lineRule="auto"/>
              <w:jc w:val="center"/>
              <w:rPr>
                <w:rFonts w:cs="宋体" w:asciiTheme="minorEastAsia" w:hAnsiTheme="minorEastAsia"/>
                <w:sz w:val="18"/>
                <w:szCs w:val="18"/>
              </w:rPr>
            </w:pPr>
            <w:r>
              <w:rPr>
                <w:rFonts w:hint="eastAsia" w:cs="宋体" w:asciiTheme="minorEastAsia" w:hAnsiTheme="minorEastAsia"/>
                <w:sz w:val="18"/>
                <w:szCs w:val="18"/>
              </w:rPr>
              <w:t>9</w:t>
            </w:r>
          </w:p>
        </w:tc>
        <w:tc>
          <w:tcPr>
            <w:tcW w:w="1189" w:type="dxa"/>
            <w:vAlign w:val="center"/>
          </w:tcPr>
          <w:p>
            <w:pPr>
              <w:spacing w:line="360" w:lineRule="auto"/>
              <w:jc w:val="center"/>
              <w:rPr>
                <w:rFonts w:cs="宋体" w:asciiTheme="minorEastAsia" w:hAnsiTheme="minorEastAsia"/>
                <w:sz w:val="18"/>
                <w:szCs w:val="18"/>
              </w:rPr>
            </w:pPr>
            <w:r>
              <w:rPr>
                <w:rFonts w:hint="eastAsia" w:cs="宋体" w:asciiTheme="minorEastAsia" w:hAnsiTheme="minorEastAsia"/>
                <w:sz w:val="18"/>
                <w:szCs w:val="18"/>
              </w:rPr>
              <w:t>9U壁挂机柜</w:t>
            </w:r>
          </w:p>
        </w:tc>
        <w:tc>
          <w:tcPr>
            <w:tcW w:w="6674" w:type="dxa"/>
            <w:vAlign w:val="center"/>
          </w:tcPr>
          <w:p>
            <w:pPr>
              <w:spacing w:line="360" w:lineRule="auto"/>
              <w:rPr>
                <w:rFonts w:cs="宋体" w:asciiTheme="minorEastAsia" w:hAnsiTheme="minorEastAsia"/>
                <w:sz w:val="18"/>
                <w:szCs w:val="18"/>
              </w:rPr>
            </w:pPr>
            <w:r>
              <w:rPr>
                <w:rFonts w:hint="eastAsia" w:cs="宋体" w:asciiTheme="minorEastAsia" w:hAnsiTheme="minorEastAsia"/>
                <w:sz w:val="18"/>
                <w:szCs w:val="18"/>
              </w:rPr>
              <w:t>壁挂机柜，9U，含电源排插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816" w:type="dxa"/>
            <w:vAlign w:val="center"/>
          </w:tcPr>
          <w:p>
            <w:pPr>
              <w:spacing w:line="360" w:lineRule="auto"/>
              <w:jc w:val="center"/>
              <w:rPr>
                <w:rFonts w:cs="宋体" w:asciiTheme="minorEastAsia" w:hAnsiTheme="minorEastAsia"/>
                <w:sz w:val="18"/>
                <w:szCs w:val="18"/>
              </w:rPr>
            </w:pPr>
            <w:r>
              <w:rPr>
                <w:rFonts w:hint="eastAsia" w:cs="宋体" w:asciiTheme="minorEastAsia" w:hAnsiTheme="minorEastAsia"/>
                <w:sz w:val="18"/>
                <w:szCs w:val="18"/>
              </w:rPr>
              <w:t>10</w:t>
            </w:r>
          </w:p>
        </w:tc>
        <w:tc>
          <w:tcPr>
            <w:tcW w:w="1189" w:type="dxa"/>
            <w:vAlign w:val="center"/>
          </w:tcPr>
          <w:p>
            <w:pPr>
              <w:spacing w:line="360" w:lineRule="auto"/>
              <w:jc w:val="center"/>
              <w:rPr>
                <w:rFonts w:cs="宋体" w:asciiTheme="minorEastAsia" w:hAnsiTheme="minorEastAsia"/>
                <w:sz w:val="18"/>
                <w:szCs w:val="18"/>
              </w:rPr>
            </w:pPr>
            <w:r>
              <w:rPr>
                <w:rFonts w:hint="eastAsia" w:cs="宋体" w:asciiTheme="minorEastAsia" w:hAnsiTheme="minorEastAsia"/>
                <w:sz w:val="18"/>
                <w:szCs w:val="18"/>
              </w:rPr>
              <w:t>12U壁挂机柜</w:t>
            </w:r>
          </w:p>
        </w:tc>
        <w:tc>
          <w:tcPr>
            <w:tcW w:w="6674" w:type="dxa"/>
            <w:vAlign w:val="center"/>
          </w:tcPr>
          <w:p>
            <w:pPr>
              <w:spacing w:line="360" w:lineRule="auto"/>
              <w:rPr>
                <w:rFonts w:cs="宋体" w:asciiTheme="minorEastAsia" w:hAnsiTheme="minorEastAsia"/>
                <w:sz w:val="18"/>
                <w:szCs w:val="18"/>
              </w:rPr>
            </w:pPr>
            <w:r>
              <w:rPr>
                <w:rFonts w:hint="eastAsia" w:cs="宋体" w:asciiTheme="minorEastAsia" w:hAnsiTheme="minorEastAsia"/>
                <w:sz w:val="18"/>
                <w:szCs w:val="18"/>
              </w:rPr>
              <w:t>壁挂机柜，12U，含电源排插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816" w:type="dxa"/>
            <w:vAlign w:val="center"/>
          </w:tcPr>
          <w:p>
            <w:pPr>
              <w:spacing w:line="360" w:lineRule="auto"/>
              <w:jc w:val="center"/>
              <w:rPr>
                <w:rFonts w:cs="宋体" w:asciiTheme="minorEastAsia" w:hAnsiTheme="minorEastAsia"/>
                <w:sz w:val="18"/>
                <w:szCs w:val="18"/>
              </w:rPr>
            </w:pPr>
            <w:r>
              <w:rPr>
                <w:rFonts w:hint="eastAsia" w:cs="宋体" w:asciiTheme="minorEastAsia" w:hAnsiTheme="minorEastAsia"/>
                <w:sz w:val="18"/>
                <w:szCs w:val="18"/>
              </w:rPr>
              <w:t>11</w:t>
            </w:r>
          </w:p>
        </w:tc>
        <w:tc>
          <w:tcPr>
            <w:tcW w:w="1189" w:type="dxa"/>
            <w:vAlign w:val="center"/>
          </w:tcPr>
          <w:p>
            <w:pPr>
              <w:spacing w:line="360" w:lineRule="auto"/>
              <w:jc w:val="center"/>
              <w:rPr>
                <w:rFonts w:cs="宋体" w:asciiTheme="minorEastAsia" w:hAnsiTheme="minorEastAsia"/>
                <w:sz w:val="18"/>
                <w:szCs w:val="18"/>
              </w:rPr>
            </w:pPr>
            <w:r>
              <w:rPr>
                <w:rFonts w:hint="eastAsia" w:cs="宋体" w:asciiTheme="minorEastAsia" w:hAnsiTheme="minorEastAsia"/>
                <w:sz w:val="18"/>
                <w:szCs w:val="18"/>
              </w:rPr>
              <w:t>理线架</w:t>
            </w:r>
          </w:p>
        </w:tc>
        <w:tc>
          <w:tcPr>
            <w:tcW w:w="6674" w:type="dxa"/>
            <w:vAlign w:val="center"/>
          </w:tcPr>
          <w:p>
            <w:pPr>
              <w:spacing w:line="360" w:lineRule="auto"/>
              <w:rPr>
                <w:rFonts w:cs="宋体" w:asciiTheme="minorEastAsia" w:hAnsiTheme="minorEastAsia"/>
                <w:sz w:val="18"/>
                <w:szCs w:val="18"/>
              </w:rPr>
            </w:pPr>
            <w:r>
              <w:rPr>
                <w:rFonts w:hint="eastAsia" w:cs="宋体" w:asciiTheme="minorEastAsia" w:hAnsiTheme="minorEastAsia"/>
                <w:sz w:val="18"/>
                <w:szCs w:val="18"/>
              </w:rPr>
              <w:t>黑色，1U理线架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816" w:type="dxa"/>
            <w:vAlign w:val="center"/>
          </w:tcPr>
          <w:p>
            <w:pPr>
              <w:spacing w:line="360" w:lineRule="auto"/>
              <w:jc w:val="center"/>
              <w:rPr>
                <w:rFonts w:cs="宋体" w:asciiTheme="minorEastAsia" w:hAnsiTheme="minorEastAsia"/>
                <w:sz w:val="18"/>
                <w:szCs w:val="18"/>
              </w:rPr>
            </w:pPr>
            <w:r>
              <w:rPr>
                <w:rFonts w:hint="eastAsia" w:cs="宋体" w:asciiTheme="minorEastAsia" w:hAnsiTheme="minorEastAsia"/>
                <w:sz w:val="18"/>
                <w:szCs w:val="18"/>
              </w:rPr>
              <w:t>12</w:t>
            </w:r>
          </w:p>
        </w:tc>
        <w:tc>
          <w:tcPr>
            <w:tcW w:w="1189" w:type="dxa"/>
            <w:vAlign w:val="center"/>
          </w:tcPr>
          <w:p>
            <w:pPr>
              <w:spacing w:line="360" w:lineRule="auto"/>
              <w:jc w:val="center"/>
              <w:rPr>
                <w:rFonts w:cs="宋体" w:asciiTheme="minorEastAsia" w:hAnsiTheme="minorEastAsia"/>
                <w:sz w:val="18"/>
                <w:szCs w:val="18"/>
              </w:rPr>
            </w:pPr>
            <w:r>
              <w:rPr>
                <w:rFonts w:hint="eastAsia" w:cs="宋体" w:asciiTheme="minorEastAsia" w:hAnsiTheme="minorEastAsia"/>
                <w:sz w:val="18"/>
                <w:szCs w:val="18"/>
              </w:rPr>
              <w:t>12口光纤配线架</w:t>
            </w:r>
          </w:p>
        </w:tc>
        <w:tc>
          <w:tcPr>
            <w:tcW w:w="6674" w:type="dxa"/>
            <w:vAlign w:val="center"/>
          </w:tcPr>
          <w:p>
            <w:pPr>
              <w:spacing w:line="360" w:lineRule="auto"/>
              <w:rPr>
                <w:rFonts w:cs="宋体" w:asciiTheme="minorEastAsia" w:hAnsiTheme="minorEastAsia"/>
                <w:sz w:val="18"/>
                <w:szCs w:val="18"/>
              </w:rPr>
            </w:pPr>
            <w:r>
              <w:rPr>
                <w:rFonts w:hint="eastAsia" w:cs="宋体" w:asciiTheme="minorEastAsia" w:hAnsiTheme="minorEastAsia"/>
                <w:sz w:val="18"/>
                <w:szCs w:val="18"/>
              </w:rPr>
              <w:t>12口光纤配线架，满配跳线，尾纤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816" w:type="dxa"/>
            <w:vAlign w:val="center"/>
          </w:tcPr>
          <w:p>
            <w:pPr>
              <w:spacing w:line="360" w:lineRule="auto"/>
              <w:jc w:val="center"/>
              <w:rPr>
                <w:rFonts w:cs="宋体" w:asciiTheme="minorEastAsia" w:hAnsiTheme="minorEastAsia"/>
                <w:sz w:val="18"/>
                <w:szCs w:val="18"/>
              </w:rPr>
            </w:pPr>
            <w:r>
              <w:rPr>
                <w:rFonts w:hint="eastAsia" w:cs="宋体" w:asciiTheme="minorEastAsia" w:hAnsiTheme="minorEastAsia"/>
                <w:sz w:val="18"/>
                <w:szCs w:val="18"/>
              </w:rPr>
              <w:t>13</w:t>
            </w:r>
          </w:p>
        </w:tc>
        <w:tc>
          <w:tcPr>
            <w:tcW w:w="1189" w:type="dxa"/>
            <w:vAlign w:val="center"/>
          </w:tcPr>
          <w:p>
            <w:pPr>
              <w:spacing w:line="360" w:lineRule="auto"/>
              <w:jc w:val="center"/>
              <w:rPr>
                <w:rFonts w:cs="宋体" w:asciiTheme="minorEastAsia" w:hAnsiTheme="minorEastAsia"/>
                <w:sz w:val="18"/>
                <w:szCs w:val="18"/>
              </w:rPr>
            </w:pPr>
            <w:r>
              <w:rPr>
                <w:rFonts w:hint="eastAsia" w:cs="宋体" w:asciiTheme="minorEastAsia" w:hAnsiTheme="minorEastAsia"/>
                <w:sz w:val="18"/>
                <w:szCs w:val="18"/>
              </w:rPr>
              <w:t>12芯室外单模铠装光缆</w:t>
            </w:r>
          </w:p>
        </w:tc>
        <w:tc>
          <w:tcPr>
            <w:tcW w:w="6674" w:type="dxa"/>
            <w:vAlign w:val="center"/>
          </w:tcPr>
          <w:p>
            <w:pPr>
              <w:spacing w:line="360" w:lineRule="auto"/>
              <w:rPr>
                <w:rFonts w:cs="宋体" w:asciiTheme="minorEastAsia" w:hAnsiTheme="minorEastAsia"/>
                <w:sz w:val="18"/>
                <w:szCs w:val="18"/>
              </w:rPr>
            </w:pPr>
            <w:r>
              <w:rPr>
                <w:rFonts w:hint="eastAsia" w:cs="宋体" w:asciiTheme="minorEastAsia" w:hAnsiTheme="minorEastAsia"/>
                <w:sz w:val="18"/>
                <w:szCs w:val="18"/>
              </w:rPr>
              <w:t>12芯室外单模铠装光缆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816" w:type="dxa"/>
            <w:vAlign w:val="center"/>
          </w:tcPr>
          <w:p>
            <w:pPr>
              <w:spacing w:line="360" w:lineRule="auto"/>
              <w:jc w:val="center"/>
              <w:rPr>
                <w:rFonts w:cs="宋体" w:asciiTheme="minorEastAsia" w:hAnsiTheme="minorEastAsia"/>
                <w:sz w:val="18"/>
                <w:szCs w:val="18"/>
              </w:rPr>
            </w:pPr>
            <w:r>
              <w:rPr>
                <w:rFonts w:hint="eastAsia" w:cs="宋体" w:asciiTheme="minorEastAsia" w:hAnsiTheme="minorEastAsia"/>
                <w:sz w:val="18"/>
                <w:szCs w:val="18"/>
              </w:rPr>
              <w:t>14</w:t>
            </w:r>
          </w:p>
        </w:tc>
        <w:tc>
          <w:tcPr>
            <w:tcW w:w="1189" w:type="dxa"/>
            <w:vAlign w:val="center"/>
          </w:tcPr>
          <w:p>
            <w:pPr>
              <w:spacing w:line="360" w:lineRule="auto"/>
              <w:jc w:val="center"/>
              <w:rPr>
                <w:rFonts w:cs="宋体" w:asciiTheme="minorEastAsia" w:hAnsiTheme="minorEastAsia"/>
                <w:sz w:val="18"/>
                <w:szCs w:val="18"/>
              </w:rPr>
            </w:pPr>
            <w:r>
              <w:rPr>
                <w:rFonts w:hint="eastAsia" w:cs="宋体" w:asciiTheme="minorEastAsia" w:hAnsiTheme="minorEastAsia"/>
                <w:sz w:val="18"/>
                <w:szCs w:val="18"/>
              </w:rPr>
              <w:t>室内ONU光线</w:t>
            </w:r>
          </w:p>
        </w:tc>
        <w:tc>
          <w:tcPr>
            <w:tcW w:w="6674" w:type="dxa"/>
            <w:vAlign w:val="center"/>
          </w:tcPr>
          <w:p>
            <w:pPr>
              <w:spacing w:line="360" w:lineRule="auto"/>
              <w:rPr>
                <w:rFonts w:cs="宋体" w:asciiTheme="minorEastAsia" w:hAnsiTheme="minorEastAsia"/>
                <w:sz w:val="18"/>
                <w:szCs w:val="18"/>
              </w:rPr>
            </w:pPr>
            <w:r>
              <w:rPr>
                <w:rFonts w:hint="eastAsia" w:cs="宋体" w:asciiTheme="minorEastAsia" w:hAnsiTheme="minorEastAsia"/>
                <w:sz w:val="18"/>
                <w:szCs w:val="18"/>
              </w:rPr>
              <w:t>室内双芯ONU光线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816" w:type="dxa"/>
            <w:vAlign w:val="center"/>
          </w:tcPr>
          <w:p>
            <w:pPr>
              <w:spacing w:line="360" w:lineRule="auto"/>
              <w:jc w:val="center"/>
              <w:rPr>
                <w:rFonts w:cs="宋体" w:asciiTheme="minorEastAsia" w:hAnsiTheme="minorEastAsia"/>
                <w:sz w:val="18"/>
                <w:szCs w:val="18"/>
              </w:rPr>
            </w:pPr>
            <w:r>
              <w:rPr>
                <w:rFonts w:hint="eastAsia" w:cs="宋体" w:asciiTheme="minorEastAsia" w:hAnsiTheme="minorEastAsia"/>
                <w:sz w:val="18"/>
                <w:szCs w:val="18"/>
              </w:rPr>
              <w:t>15</w:t>
            </w:r>
          </w:p>
        </w:tc>
        <w:tc>
          <w:tcPr>
            <w:tcW w:w="1189" w:type="dxa"/>
            <w:vAlign w:val="center"/>
          </w:tcPr>
          <w:p>
            <w:pPr>
              <w:spacing w:line="360" w:lineRule="auto"/>
              <w:jc w:val="center"/>
              <w:rPr>
                <w:rFonts w:cs="宋体" w:asciiTheme="minorEastAsia" w:hAnsiTheme="minorEastAsia"/>
                <w:sz w:val="18"/>
                <w:szCs w:val="18"/>
              </w:rPr>
            </w:pPr>
            <w:r>
              <w:rPr>
                <w:rFonts w:hint="eastAsia" w:cs="宋体" w:asciiTheme="minorEastAsia" w:hAnsiTheme="minorEastAsia"/>
                <w:sz w:val="18"/>
                <w:szCs w:val="18"/>
              </w:rPr>
              <w:t>辅材</w:t>
            </w:r>
          </w:p>
        </w:tc>
        <w:tc>
          <w:tcPr>
            <w:tcW w:w="6674" w:type="dxa"/>
            <w:vAlign w:val="center"/>
          </w:tcPr>
          <w:p>
            <w:pPr>
              <w:pStyle w:val="15"/>
              <w:numPr>
                <w:ilvl w:val="0"/>
                <w:numId w:val="7"/>
              </w:numPr>
              <w:spacing w:line="360" w:lineRule="auto"/>
              <w:ind w:firstLineChars="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工程辅材，交换机电源线、标签等；</w:t>
            </w:r>
          </w:p>
          <w:p>
            <w:pPr>
              <w:pStyle w:val="15"/>
              <w:numPr>
                <w:ilvl w:val="0"/>
                <w:numId w:val="7"/>
              </w:numPr>
              <w:spacing w:line="360" w:lineRule="auto"/>
              <w:ind w:firstLineChars="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室外光纤管道；</w:t>
            </w:r>
          </w:p>
          <w:p>
            <w:pPr>
              <w:pStyle w:val="15"/>
              <w:numPr>
                <w:ilvl w:val="0"/>
                <w:numId w:val="7"/>
              </w:numPr>
              <w:spacing w:line="360" w:lineRule="auto"/>
              <w:ind w:firstLineChars="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室内分光器等；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816" w:type="dxa"/>
            <w:vAlign w:val="center"/>
          </w:tcPr>
          <w:p>
            <w:pPr>
              <w:spacing w:line="360" w:lineRule="auto"/>
              <w:jc w:val="center"/>
              <w:rPr>
                <w:rFonts w:cs="宋体" w:asciiTheme="minorEastAsia" w:hAnsiTheme="minorEastAsia"/>
                <w:sz w:val="18"/>
                <w:szCs w:val="18"/>
              </w:rPr>
            </w:pPr>
            <w:r>
              <w:rPr>
                <w:rFonts w:hint="eastAsia" w:cs="宋体" w:asciiTheme="minorEastAsia" w:hAnsiTheme="minorEastAsia"/>
                <w:sz w:val="18"/>
                <w:szCs w:val="18"/>
              </w:rPr>
              <w:t>16</w:t>
            </w:r>
          </w:p>
        </w:tc>
        <w:tc>
          <w:tcPr>
            <w:tcW w:w="1189" w:type="dxa"/>
            <w:vAlign w:val="center"/>
          </w:tcPr>
          <w:p>
            <w:pPr>
              <w:spacing w:line="360" w:lineRule="auto"/>
              <w:jc w:val="center"/>
              <w:rPr>
                <w:rFonts w:cs="宋体" w:asciiTheme="minorEastAsia" w:hAnsiTheme="minorEastAsia"/>
                <w:sz w:val="18"/>
                <w:szCs w:val="18"/>
              </w:rPr>
            </w:pPr>
            <w:r>
              <w:rPr>
                <w:rFonts w:hint="eastAsia" w:cs="宋体" w:asciiTheme="minorEastAsia" w:hAnsiTheme="minorEastAsia"/>
                <w:sz w:val="18"/>
                <w:szCs w:val="18"/>
              </w:rPr>
              <w:t>系统集成及施工费</w:t>
            </w:r>
          </w:p>
        </w:tc>
        <w:tc>
          <w:tcPr>
            <w:tcW w:w="6674" w:type="dxa"/>
            <w:vAlign w:val="center"/>
          </w:tcPr>
          <w:p>
            <w:pPr>
              <w:spacing w:line="360" w:lineRule="auto"/>
              <w:rPr>
                <w:rFonts w:cs="宋体" w:asciiTheme="minorEastAsia" w:hAnsiTheme="minorEastAsia"/>
                <w:sz w:val="18"/>
                <w:szCs w:val="18"/>
              </w:rPr>
            </w:pPr>
            <w:r>
              <w:rPr>
                <w:rFonts w:hint="eastAsia" w:cs="宋体" w:asciiTheme="minorEastAsia" w:hAnsiTheme="minorEastAsia"/>
                <w:sz w:val="18"/>
                <w:szCs w:val="18"/>
              </w:rPr>
              <w:t>所有设备的上架、上电及安装、调试；所有设备布线及实施；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8679" w:type="dxa"/>
            <w:gridSpan w:val="3"/>
            <w:vAlign w:val="center"/>
          </w:tcPr>
          <w:p>
            <w:pPr>
              <w:spacing w:line="360" w:lineRule="auto"/>
              <w:rPr>
                <w:rFonts w:cs="宋体" w:asciiTheme="minorEastAsia" w:hAnsiTheme="minorEastAsia"/>
                <w:sz w:val="18"/>
                <w:szCs w:val="18"/>
              </w:rPr>
            </w:pPr>
            <w:r>
              <w:rPr>
                <w:rFonts w:hint="eastAsia" w:cs="宋体" w:asciiTheme="minorEastAsia" w:hAnsiTheme="minorEastAsia"/>
                <w:sz w:val="18"/>
                <w:szCs w:val="18"/>
              </w:rPr>
              <w:t>三、一卡通（门禁及消费POS机）（推荐品牌：新中新、正元、新开普）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816" w:type="dxa"/>
            <w:vAlign w:val="center"/>
          </w:tcPr>
          <w:p>
            <w:pPr>
              <w:spacing w:line="360" w:lineRule="auto"/>
              <w:jc w:val="center"/>
              <w:rPr>
                <w:rFonts w:cs="宋体" w:asciiTheme="minorEastAsia" w:hAnsiTheme="minorEastAsia"/>
                <w:sz w:val="18"/>
                <w:szCs w:val="18"/>
              </w:rPr>
            </w:pPr>
            <w:r>
              <w:rPr>
                <w:rFonts w:hint="eastAsia" w:cs="宋体" w:asciiTheme="minorEastAsia" w:hAnsiTheme="minorEastAsia"/>
                <w:sz w:val="18"/>
                <w:szCs w:val="18"/>
              </w:rPr>
              <w:t>1</w:t>
            </w:r>
          </w:p>
        </w:tc>
        <w:tc>
          <w:tcPr>
            <w:tcW w:w="1189" w:type="dxa"/>
            <w:vAlign w:val="center"/>
          </w:tcPr>
          <w:p>
            <w:pPr>
              <w:spacing w:line="360" w:lineRule="auto"/>
              <w:jc w:val="center"/>
              <w:rPr>
                <w:rFonts w:cs="宋体" w:asciiTheme="minorEastAsia" w:hAnsiTheme="minorEastAsia"/>
                <w:sz w:val="18"/>
                <w:szCs w:val="18"/>
              </w:rPr>
            </w:pPr>
            <w:r>
              <w:rPr>
                <w:rFonts w:hint="eastAsia" w:cs="宋体" w:asciiTheme="minorEastAsia" w:hAnsiTheme="minorEastAsia"/>
                <w:sz w:val="18"/>
                <w:szCs w:val="18"/>
              </w:rPr>
              <w:t>门禁管理系统软件</w:t>
            </w:r>
          </w:p>
        </w:tc>
        <w:tc>
          <w:tcPr>
            <w:tcW w:w="6674" w:type="dxa"/>
            <w:vAlign w:val="center"/>
          </w:tcPr>
          <w:p>
            <w:pPr>
              <w:spacing w:line="360" w:lineRule="auto"/>
              <w:rPr>
                <w:rFonts w:cs="宋体" w:asciiTheme="minorEastAsia" w:hAnsiTheme="minorEastAsia"/>
                <w:sz w:val="18"/>
                <w:szCs w:val="18"/>
              </w:rPr>
            </w:pPr>
            <w:r>
              <w:rPr>
                <w:rFonts w:hint="eastAsia" w:cs="宋体" w:asciiTheme="minorEastAsia" w:hAnsiTheme="minorEastAsia"/>
                <w:sz w:val="18"/>
                <w:szCs w:val="18"/>
              </w:rPr>
              <w:t>对门禁终端进行配置与管理，门禁终端的开门权限的下发管理，支持远程监控与开门管理等，支持与一卡通同步，支持独立发卡，支持刷卡与扫码开门；校大门及学生宿舍区域门禁具备人脸识别和闸机硬软件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816" w:type="dxa"/>
            <w:vAlign w:val="center"/>
          </w:tcPr>
          <w:p>
            <w:pPr>
              <w:spacing w:line="360" w:lineRule="auto"/>
              <w:jc w:val="center"/>
              <w:rPr>
                <w:rFonts w:cs="宋体" w:asciiTheme="minorEastAsia" w:hAnsiTheme="minorEastAsia"/>
                <w:sz w:val="18"/>
                <w:szCs w:val="18"/>
              </w:rPr>
            </w:pPr>
            <w:r>
              <w:rPr>
                <w:rFonts w:hint="eastAsia" w:cs="宋体" w:asciiTheme="minorEastAsia" w:hAnsiTheme="minorEastAsia"/>
                <w:sz w:val="18"/>
                <w:szCs w:val="18"/>
              </w:rPr>
              <w:t>2</w:t>
            </w:r>
          </w:p>
        </w:tc>
        <w:tc>
          <w:tcPr>
            <w:tcW w:w="1189" w:type="dxa"/>
            <w:vAlign w:val="center"/>
          </w:tcPr>
          <w:p>
            <w:pPr>
              <w:spacing w:line="360" w:lineRule="auto"/>
              <w:jc w:val="center"/>
              <w:rPr>
                <w:rFonts w:cs="宋体" w:asciiTheme="minorEastAsia" w:hAnsiTheme="minorEastAsia"/>
                <w:sz w:val="18"/>
                <w:szCs w:val="18"/>
              </w:rPr>
            </w:pPr>
            <w:r>
              <w:rPr>
                <w:rFonts w:hint="eastAsia" w:cs="宋体" w:asciiTheme="minorEastAsia" w:hAnsiTheme="minorEastAsia"/>
                <w:sz w:val="18"/>
                <w:szCs w:val="18"/>
              </w:rPr>
              <w:t>门禁控制器</w:t>
            </w:r>
          </w:p>
        </w:tc>
        <w:tc>
          <w:tcPr>
            <w:tcW w:w="6674" w:type="dxa"/>
            <w:vAlign w:val="center"/>
          </w:tcPr>
          <w:p>
            <w:pPr>
              <w:spacing w:line="360" w:lineRule="auto"/>
              <w:rPr>
                <w:rFonts w:cs="宋体" w:asciiTheme="minorEastAsia" w:hAnsiTheme="minorEastAsia"/>
                <w:sz w:val="18"/>
                <w:szCs w:val="18"/>
              </w:rPr>
            </w:pPr>
            <w:r>
              <w:rPr>
                <w:rFonts w:hint="eastAsia" w:cs="宋体" w:asciiTheme="minorEastAsia" w:hAnsiTheme="minorEastAsia"/>
                <w:sz w:val="18"/>
                <w:szCs w:val="18"/>
              </w:rPr>
              <w:t>双门双向；TCP/IP通讯；支持100000人、脱机记录100000条；开门延时1~600秒可调；远程和强制开关门功能；TCP/IP实时通信，支持广域网通讯；同一网段内可以搜索添加设备可网络升级、U盘升级；刷卡、卡+密码、卡号+密码、超级密码、胁迫密码开门、首卡开门；支持胁迫报警、非法闯入报警、长时间未关门报警、非法卡报警等报警处理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816" w:type="dxa"/>
            <w:vAlign w:val="center"/>
          </w:tcPr>
          <w:p>
            <w:pPr>
              <w:spacing w:line="360" w:lineRule="auto"/>
              <w:jc w:val="center"/>
              <w:rPr>
                <w:rFonts w:cs="宋体" w:asciiTheme="minorEastAsia" w:hAnsiTheme="minorEastAsia"/>
                <w:sz w:val="18"/>
                <w:szCs w:val="18"/>
              </w:rPr>
            </w:pPr>
            <w:r>
              <w:rPr>
                <w:rFonts w:hint="eastAsia" w:cs="宋体" w:asciiTheme="minorEastAsia" w:hAnsiTheme="minorEastAsia"/>
                <w:sz w:val="18"/>
                <w:szCs w:val="18"/>
              </w:rPr>
              <w:t>3</w:t>
            </w:r>
          </w:p>
        </w:tc>
        <w:tc>
          <w:tcPr>
            <w:tcW w:w="1189" w:type="dxa"/>
            <w:vAlign w:val="center"/>
          </w:tcPr>
          <w:p>
            <w:pPr>
              <w:spacing w:line="360" w:lineRule="auto"/>
              <w:jc w:val="center"/>
              <w:rPr>
                <w:rFonts w:cs="宋体" w:asciiTheme="minorEastAsia" w:hAnsiTheme="minorEastAsia"/>
                <w:sz w:val="18"/>
                <w:szCs w:val="18"/>
              </w:rPr>
            </w:pPr>
            <w:r>
              <w:rPr>
                <w:rFonts w:hint="eastAsia" w:cs="宋体" w:asciiTheme="minorEastAsia" w:hAnsiTheme="minorEastAsia"/>
                <w:sz w:val="18"/>
                <w:szCs w:val="18"/>
              </w:rPr>
              <w:t>门禁读卡器</w:t>
            </w:r>
          </w:p>
        </w:tc>
        <w:tc>
          <w:tcPr>
            <w:tcW w:w="6674" w:type="dxa"/>
            <w:vAlign w:val="center"/>
          </w:tcPr>
          <w:p>
            <w:pPr>
              <w:spacing w:line="360" w:lineRule="auto"/>
              <w:rPr>
                <w:rFonts w:cs="宋体" w:asciiTheme="minorEastAsia" w:hAnsiTheme="minorEastAsia"/>
                <w:sz w:val="18"/>
                <w:szCs w:val="18"/>
              </w:rPr>
            </w:pPr>
            <w:r>
              <w:rPr>
                <w:rFonts w:hint="eastAsia" w:cs="宋体" w:asciiTheme="minorEastAsia" w:hAnsiTheme="minorEastAsia"/>
                <w:sz w:val="18"/>
                <w:szCs w:val="18"/>
              </w:rPr>
              <w:t>支持金融IC卡、M1卡、CPU卡读写、虚拟卡被扫；</w:t>
            </w:r>
          </w:p>
          <w:p>
            <w:pPr>
              <w:spacing w:line="360" w:lineRule="auto"/>
              <w:rPr>
                <w:rFonts w:cs="宋体" w:asciiTheme="minorEastAsia" w:hAnsiTheme="minorEastAsia"/>
                <w:sz w:val="18"/>
                <w:szCs w:val="18"/>
              </w:rPr>
            </w:pPr>
            <w:r>
              <w:rPr>
                <w:rFonts w:hint="eastAsia" w:cs="宋体" w:asciiTheme="minorEastAsia" w:hAnsiTheme="minorEastAsia"/>
                <w:sz w:val="18"/>
                <w:szCs w:val="18"/>
              </w:rPr>
              <w:t>工作频率：13.56MHz；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816" w:type="dxa"/>
            <w:vAlign w:val="center"/>
          </w:tcPr>
          <w:p>
            <w:pPr>
              <w:spacing w:line="360" w:lineRule="auto"/>
              <w:jc w:val="center"/>
              <w:rPr>
                <w:rFonts w:cs="宋体" w:asciiTheme="minorEastAsia" w:hAnsiTheme="minorEastAsia"/>
                <w:sz w:val="18"/>
                <w:szCs w:val="18"/>
              </w:rPr>
            </w:pPr>
            <w:r>
              <w:rPr>
                <w:rFonts w:hint="eastAsia" w:cs="宋体" w:asciiTheme="minorEastAsia" w:hAnsiTheme="minorEastAsia"/>
                <w:sz w:val="18"/>
                <w:szCs w:val="18"/>
              </w:rPr>
              <w:t>4</w:t>
            </w:r>
          </w:p>
        </w:tc>
        <w:tc>
          <w:tcPr>
            <w:tcW w:w="1189" w:type="dxa"/>
            <w:vAlign w:val="center"/>
          </w:tcPr>
          <w:p>
            <w:pPr>
              <w:spacing w:line="360" w:lineRule="auto"/>
              <w:jc w:val="center"/>
              <w:rPr>
                <w:rFonts w:cs="宋体" w:asciiTheme="minorEastAsia" w:hAnsiTheme="minorEastAsia"/>
                <w:sz w:val="18"/>
                <w:szCs w:val="18"/>
              </w:rPr>
            </w:pPr>
            <w:r>
              <w:rPr>
                <w:rFonts w:hint="eastAsia" w:cs="宋体" w:asciiTheme="minorEastAsia" w:hAnsiTheme="minorEastAsia"/>
                <w:sz w:val="18"/>
                <w:szCs w:val="18"/>
              </w:rPr>
              <w:t>8口接入交换机</w:t>
            </w:r>
          </w:p>
        </w:tc>
        <w:tc>
          <w:tcPr>
            <w:tcW w:w="6674" w:type="dxa"/>
            <w:vAlign w:val="center"/>
          </w:tcPr>
          <w:p>
            <w:pPr>
              <w:spacing w:line="360" w:lineRule="auto"/>
              <w:rPr>
                <w:rFonts w:cs="宋体" w:asciiTheme="minorEastAsia" w:hAnsiTheme="minorEastAsia"/>
                <w:sz w:val="18"/>
                <w:szCs w:val="18"/>
              </w:rPr>
            </w:pPr>
            <w:r>
              <w:rPr>
                <w:rFonts w:hint="eastAsia" w:cs="宋体" w:asciiTheme="minorEastAsia" w:hAnsiTheme="minorEastAsia"/>
                <w:sz w:val="18"/>
                <w:szCs w:val="18"/>
              </w:rPr>
              <w:t>8个千兆接入交换机，可网管；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816" w:type="dxa"/>
            <w:vAlign w:val="center"/>
          </w:tcPr>
          <w:p>
            <w:pPr>
              <w:spacing w:line="360" w:lineRule="auto"/>
              <w:jc w:val="center"/>
              <w:rPr>
                <w:rFonts w:cs="宋体" w:asciiTheme="minorEastAsia" w:hAnsiTheme="minorEastAsia"/>
                <w:sz w:val="18"/>
                <w:szCs w:val="18"/>
              </w:rPr>
            </w:pPr>
            <w:r>
              <w:rPr>
                <w:rFonts w:hint="eastAsia" w:cs="宋体" w:asciiTheme="minorEastAsia" w:hAnsiTheme="minorEastAsia"/>
                <w:sz w:val="18"/>
                <w:szCs w:val="18"/>
              </w:rPr>
              <w:t>5</w:t>
            </w:r>
          </w:p>
        </w:tc>
        <w:tc>
          <w:tcPr>
            <w:tcW w:w="1189" w:type="dxa"/>
            <w:vAlign w:val="center"/>
          </w:tcPr>
          <w:p>
            <w:pPr>
              <w:spacing w:line="360" w:lineRule="auto"/>
              <w:jc w:val="center"/>
              <w:rPr>
                <w:rFonts w:cs="宋体" w:asciiTheme="minorEastAsia" w:hAnsiTheme="minorEastAsia"/>
                <w:sz w:val="18"/>
                <w:szCs w:val="18"/>
              </w:rPr>
            </w:pPr>
            <w:r>
              <w:rPr>
                <w:rFonts w:hint="eastAsia" w:cs="宋体" w:asciiTheme="minorEastAsia" w:hAnsiTheme="minorEastAsia"/>
                <w:sz w:val="18"/>
                <w:szCs w:val="18"/>
              </w:rPr>
              <w:t>消费POS机</w:t>
            </w:r>
          </w:p>
        </w:tc>
        <w:tc>
          <w:tcPr>
            <w:tcW w:w="6674" w:type="dxa"/>
            <w:vAlign w:val="center"/>
          </w:tcPr>
          <w:p>
            <w:pPr>
              <w:spacing w:line="360" w:lineRule="auto"/>
              <w:rPr>
                <w:rFonts w:cs="宋体" w:asciiTheme="minorEastAsia" w:hAnsiTheme="minorEastAsia"/>
                <w:sz w:val="18"/>
                <w:szCs w:val="18"/>
              </w:rPr>
            </w:pPr>
            <w:r>
              <w:rPr>
                <w:rFonts w:hint="eastAsia" w:cs="宋体" w:asciiTheme="minorEastAsia" w:hAnsiTheme="minorEastAsia"/>
                <w:sz w:val="18"/>
                <w:szCs w:val="18"/>
              </w:rPr>
              <w:t>双屏液晶屏显示，可显示收款机自检结果、工作状态、持卡人账户信息等;支持远程在线升级、脱机程序升级;采用以太网通讯（选配WIFI、4G线通讯模块）;内置硬件看门狗，防止死机;支持现有M1、CPU、SIMPASS卡、UIMPASS卡、非接触金融IC卡;支持二维码扫码消费（新中新学付宝APP，支付宝，微信）；自助补卡终端；圈存机；证卡打印机；一卡通专用电脑及A4激光打印机、读卡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8679" w:type="dxa"/>
            <w:gridSpan w:val="3"/>
            <w:vAlign w:val="center"/>
          </w:tcPr>
          <w:p>
            <w:pPr>
              <w:spacing w:line="360" w:lineRule="auto"/>
              <w:rPr>
                <w:rFonts w:cs="宋体" w:asciiTheme="minorEastAsia" w:hAnsiTheme="minorEastAsia"/>
                <w:sz w:val="18"/>
                <w:szCs w:val="18"/>
              </w:rPr>
            </w:pPr>
            <w:r>
              <w:rPr>
                <w:rFonts w:hint="eastAsia" w:cs="宋体" w:asciiTheme="minorEastAsia" w:hAnsiTheme="minorEastAsia"/>
                <w:sz w:val="18"/>
                <w:szCs w:val="18"/>
              </w:rPr>
              <w:t>四、车辆道闸系统（须具备网络临时出入申报、审核功能，须与主校区统一）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816" w:type="dxa"/>
            <w:vMerge w:val="restart"/>
            <w:vAlign w:val="center"/>
          </w:tcPr>
          <w:p>
            <w:pPr>
              <w:spacing w:line="360" w:lineRule="auto"/>
              <w:rPr>
                <w:rFonts w:cs="宋体" w:asciiTheme="minorEastAsia" w:hAnsiTheme="minorEastAsia"/>
                <w:sz w:val="18"/>
                <w:szCs w:val="18"/>
              </w:rPr>
            </w:pPr>
            <w:r>
              <w:rPr>
                <w:rFonts w:hint="eastAsia" w:cs="宋体" w:asciiTheme="minorEastAsia" w:hAnsiTheme="minorEastAsia"/>
                <w:sz w:val="18"/>
                <w:szCs w:val="18"/>
              </w:rPr>
              <w:t>出入口道闸</w:t>
            </w:r>
          </w:p>
        </w:tc>
        <w:tc>
          <w:tcPr>
            <w:tcW w:w="1189" w:type="dxa"/>
            <w:vAlign w:val="center"/>
          </w:tcPr>
          <w:p>
            <w:pPr>
              <w:spacing w:line="360" w:lineRule="auto"/>
              <w:rPr>
                <w:rFonts w:cs="宋体" w:asciiTheme="minorEastAsia" w:hAnsiTheme="minorEastAsia"/>
                <w:sz w:val="18"/>
                <w:szCs w:val="18"/>
              </w:rPr>
            </w:pPr>
            <w:r>
              <w:rPr>
                <w:rFonts w:hint="eastAsia" w:cs="宋体" w:asciiTheme="minorEastAsia" w:hAnsiTheme="minorEastAsia"/>
                <w:sz w:val="18"/>
                <w:szCs w:val="18"/>
              </w:rPr>
              <w:t>智能直杆道闸</w:t>
            </w:r>
          </w:p>
        </w:tc>
        <w:tc>
          <w:tcPr>
            <w:tcW w:w="6674" w:type="dxa"/>
            <w:vAlign w:val="center"/>
          </w:tcPr>
          <w:p>
            <w:pPr>
              <w:spacing w:line="360" w:lineRule="auto"/>
              <w:rPr>
                <w:rFonts w:cs="宋体" w:asciiTheme="minorEastAsia" w:hAnsiTheme="minorEastAsia"/>
                <w:sz w:val="18"/>
                <w:szCs w:val="18"/>
              </w:rPr>
            </w:pPr>
            <w:r>
              <w:rPr>
                <w:rFonts w:hint="eastAsia" w:cs="宋体" w:asciiTheme="minorEastAsia" w:hAnsiTheme="minorEastAsia"/>
                <w:sz w:val="18"/>
                <w:szCs w:val="18"/>
              </w:rPr>
              <w:t>外观配色：麒麟金配色</w:t>
            </w:r>
            <w:r>
              <w:rPr>
                <w:rFonts w:hint="eastAsia" w:cs="宋体" w:asciiTheme="minorEastAsia" w:hAnsiTheme="minorEastAsia"/>
                <w:sz w:val="18"/>
                <w:szCs w:val="18"/>
              </w:rPr>
              <w:br w:type="textWrapping"/>
            </w:r>
            <w:r>
              <w:rPr>
                <w:rFonts w:hint="eastAsia" w:cs="宋体" w:asciiTheme="minorEastAsia" w:hAnsiTheme="minorEastAsia"/>
                <w:sz w:val="18"/>
                <w:szCs w:val="18"/>
              </w:rPr>
              <w:t>制作工艺：采用2mm结构钢板模具成型主体，汽车喷涂工艺表面处理，防腐蚀，防褪色，防脱落，易保养，表面质感细腻、美观大方，历久弥新。</w:t>
            </w:r>
            <w:r>
              <w:rPr>
                <w:rFonts w:hint="eastAsia" w:cs="宋体" w:asciiTheme="minorEastAsia" w:hAnsiTheme="minorEastAsia"/>
                <w:sz w:val="18"/>
                <w:szCs w:val="18"/>
              </w:rPr>
              <w:br w:type="textWrapping"/>
            </w:r>
            <w:r>
              <w:rPr>
                <w:rFonts w:hint="eastAsia" w:cs="宋体" w:asciiTheme="minorEastAsia" w:hAnsiTheme="minorEastAsia"/>
                <w:sz w:val="18"/>
                <w:szCs w:val="18"/>
              </w:rPr>
              <w:t>车辆防砸：采用“车辆检测”、“数字防砸”、“开优先”三重防砸设计；</w:t>
            </w:r>
            <w:r>
              <w:rPr>
                <w:rFonts w:hint="eastAsia" w:cs="宋体" w:asciiTheme="minorEastAsia" w:hAnsiTheme="minorEastAsia"/>
                <w:sz w:val="18"/>
                <w:szCs w:val="18"/>
              </w:rPr>
              <w:br w:type="textWrapping"/>
            </w:r>
            <w:r>
              <w:rPr>
                <w:rFonts w:hint="eastAsia" w:cs="宋体" w:asciiTheme="minorEastAsia" w:hAnsiTheme="minorEastAsia"/>
                <w:sz w:val="18"/>
                <w:szCs w:val="18"/>
              </w:rPr>
              <w:t>配发光椭圆杆，开到位亮绿灯，关到位亮红灯，运行过程红绿灯闪烁；</w:t>
            </w:r>
            <w:r>
              <w:rPr>
                <w:rFonts w:hint="eastAsia" w:cs="宋体" w:asciiTheme="minorEastAsia" w:hAnsiTheme="minorEastAsia"/>
                <w:sz w:val="18"/>
                <w:szCs w:val="18"/>
              </w:rPr>
              <w:br w:type="textWrapping"/>
            </w:r>
            <w:r>
              <w:rPr>
                <w:rFonts w:hint="eastAsia" w:cs="宋体" w:asciiTheme="minorEastAsia" w:hAnsiTheme="minorEastAsia"/>
                <w:sz w:val="18"/>
                <w:szCs w:val="18"/>
              </w:rPr>
              <w:t>采用“直流无刷电机驱动控制”技术，保障闸杆运行精确定位，平稳、低噪音。</w:t>
            </w:r>
            <w:r>
              <w:rPr>
                <w:rFonts w:hint="eastAsia" w:cs="宋体" w:asciiTheme="minorEastAsia" w:hAnsiTheme="minorEastAsia"/>
                <w:sz w:val="18"/>
                <w:szCs w:val="18"/>
              </w:rPr>
              <w:br w:type="textWrapping"/>
            </w:r>
            <w:r>
              <w:rPr>
                <w:rFonts w:hint="eastAsia" w:cs="宋体" w:asciiTheme="minorEastAsia" w:hAnsiTheme="minorEastAsia"/>
                <w:sz w:val="18"/>
                <w:szCs w:val="18"/>
              </w:rPr>
              <w:t>采用“工作温度控制”技术，为道闸提供过流、过热、过压保护。</w:t>
            </w:r>
            <w:r>
              <w:rPr>
                <w:rFonts w:hint="eastAsia" w:cs="宋体" w:asciiTheme="minorEastAsia" w:hAnsiTheme="minorEastAsia"/>
                <w:sz w:val="18"/>
                <w:szCs w:val="18"/>
              </w:rPr>
              <w:br w:type="textWrapping"/>
            </w:r>
            <w:r>
              <w:rPr>
                <w:rFonts w:hint="eastAsia" w:cs="宋体" w:asciiTheme="minorEastAsia" w:hAnsiTheme="minorEastAsia"/>
                <w:sz w:val="18"/>
                <w:szCs w:val="18"/>
              </w:rPr>
              <w:t>采用“三级防雷”设计（控制器光耦隔离防雷、设备外接信号/电源防雷和接地防雷），保障雷暴天气稳定运行。</w:t>
            </w:r>
            <w:r>
              <w:rPr>
                <w:rFonts w:hint="eastAsia" w:cs="宋体" w:asciiTheme="minorEastAsia" w:hAnsiTheme="minorEastAsia"/>
                <w:sz w:val="18"/>
                <w:szCs w:val="18"/>
              </w:rPr>
              <w:br w:type="textWrapping"/>
            </w:r>
            <w:r>
              <w:rPr>
                <w:rFonts w:hint="eastAsia" w:cs="宋体" w:asciiTheme="minorEastAsia" w:hAnsiTheme="minorEastAsia"/>
                <w:sz w:val="18"/>
                <w:szCs w:val="18"/>
              </w:rPr>
              <w:t>采用“故障自检报警提示”技术，方使产品维护。</w:t>
            </w:r>
            <w:r>
              <w:rPr>
                <w:rFonts w:hint="eastAsia" w:cs="宋体" w:asciiTheme="minorEastAsia" w:hAnsiTheme="minorEastAsia"/>
                <w:sz w:val="18"/>
                <w:szCs w:val="18"/>
              </w:rPr>
              <w:br w:type="textWrapping"/>
            </w:r>
            <w:r>
              <w:rPr>
                <w:rFonts w:hint="eastAsia" w:cs="宋体" w:asciiTheme="minorEastAsia" w:hAnsiTheme="minorEastAsia"/>
                <w:sz w:val="18"/>
                <w:szCs w:val="18"/>
              </w:rPr>
              <w:t>采用“无级调速”设计，保障道闸运行速度精确定位。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816" w:type="dxa"/>
            <w:vMerge w:val="continue"/>
            <w:vAlign w:val="center"/>
          </w:tcPr>
          <w:p>
            <w:pPr>
              <w:spacing w:line="360" w:lineRule="auto"/>
              <w:rPr>
                <w:rFonts w:cs="宋体" w:asciiTheme="minorEastAsia" w:hAnsiTheme="minorEastAsia"/>
                <w:sz w:val="18"/>
                <w:szCs w:val="18"/>
              </w:rPr>
            </w:pPr>
          </w:p>
        </w:tc>
        <w:tc>
          <w:tcPr>
            <w:tcW w:w="1189" w:type="dxa"/>
            <w:vAlign w:val="center"/>
          </w:tcPr>
          <w:p>
            <w:pPr>
              <w:spacing w:line="360" w:lineRule="auto"/>
              <w:rPr>
                <w:rFonts w:cs="宋体" w:asciiTheme="minorEastAsia" w:hAnsiTheme="minorEastAsia"/>
                <w:sz w:val="18"/>
                <w:szCs w:val="18"/>
              </w:rPr>
            </w:pPr>
            <w:r>
              <w:rPr>
                <w:rFonts w:hint="eastAsia" w:cs="宋体" w:asciiTheme="minorEastAsia" w:hAnsiTheme="minorEastAsia"/>
                <w:sz w:val="18"/>
                <w:szCs w:val="18"/>
              </w:rPr>
              <w:t>数字式车辆检测器</w:t>
            </w:r>
          </w:p>
        </w:tc>
        <w:tc>
          <w:tcPr>
            <w:tcW w:w="6674" w:type="dxa"/>
            <w:vAlign w:val="center"/>
          </w:tcPr>
          <w:p>
            <w:pPr>
              <w:spacing w:line="360" w:lineRule="auto"/>
              <w:rPr>
                <w:rFonts w:cs="宋体" w:asciiTheme="minorEastAsia" w:hAnsiTheme="minorEastAsia"/>
                <w:sz w:val="18"/>
                <w:szCs w:val="18"/>
              </w:rPr>
            </w:pPr>
            <w:r>
              <w:rPr>
                <w:rFonts w:hint="eastAsia" w:cs="宋体" w:asciiTheme="minorEastAsia" w:hAnsiTheme="minorEastAsia"/>
                <w:sz w:val="18"/>
                <w:szCs w:val="18"/>
              </w:rPr>
              <w:t>工作频率：20K～170KHz</w:t>
            </w:r>
            <w:r>
              <w:rPr>
                <w:rFonts w:hint="eastAsia" w:cs="宋体" w:asciiTheme="minorEastAsia" w:hAnsiTheme="minorEastAsia"/>
                <w:sz w:val="18"/>
                <w:szCs w:val="18"/>
              </w:rPr>
              <w:br w:type="textWrapping"/>
            </w:r>
            <w:r>
              <w:rPr>
                <w:rFonts w:hint="eastAsia" w:cs="宋体" w:asciiTheme="minorEastAsia" w:hAnsiTheme="minorEastAsia"/>
                <w:sz w:val="18"/>
                <w:szCs w:val="18"/>
              </w:rPr>
              <w:t>反应时间：500ms</w:t>
            </w:r>
            <w:r>
              <w:rPr>
                <w:rFonts w:hint="eastAsia" w:cs="宋体" w:asciiTheme="minorEastAsia" w:hAnsiTheme="minorEastAsia"/>
                <w:sz w:val="18"/>
                <w:szCs w:val="18"/>
              </w:rPr>
              <w:br w:type="textWrapping"/>
            </w:r>
            <w:r>
              <w:rPr>
                <w:rFonts w:hint="eastAsia" w:cs="宋体" w:asciiTheme="minorEastAsia" w:hAnsiTheme="minorEastAsia"/>
                <w:sz w:val="18"/>
                <w:szCs w:val="18"/>
              </w:rPr>
              <w:t>继电器：220V AC/6A</w:t>
            </w:r>
            <w:r>
              <w:rPr>
                <w:rFonts w:hint="eastAsia" w:cs="宋体" w:asciiTheme="minorEastAsia" w:hAnsiTheme="minorEastAsia"/>
                <w:sz w:val="18"/>
                <w:szCs w:val="18"/>
              </w:rPr>
              <w:br w:type="textWrapping"/>
            </w:r>
            <w:r>
              <w:rPr>
                <w:rFonts w:hint="eastAsia" w:cs="宋体" w:asciiTheme="minorEastAsia" w:hAnsiTheme="minorEastAsia"/>
                <w:sz w:val="18"/>
                <w:szCs w:val="18"/>
              </w:rPr>
              <w:t>线圈感应量：总体线圈加上连接线为40～1000uH</w:t>
            </w:r>
            <w:r>
              <w:rPr>
                <w:rFonts w:hint="eastAsia" w:cs="宋体" w:asciiTheme="minorEastAsia" w:hAnsiTheme="minorEastAsia"/>
                <w:sz w:val="18"/>
                <w:szCs w:val="18"/>
              </w:rPr>
              <w:br w:type="textWrapping"/>
            </w:r>
            <w:r>
              <w:rPr>
                <w:rFonts w:hint="eastAsia" w:cs="宋体" w:asciiTheme="minorEastAsia" w:hAnsiTheme="minorEastAsia"/>
                <w:sz w:val="18"/>
                <w:szCs w:val="18"/>
              </w:rPr>
              <w:t>理想的值在80～300uH之间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816" w:type="dxa"/>
            <w:vMerge w:val="restart"/>
            <w:vAlign w:val="center"/>
          </w:tcPr>
          <w:p>
            <w:pPr>
              <w:spacing w:line="360" w:lineRule="auto"/>
              <w:rPr>
                <w:rFonts w:cs="宋体" w:asciiTheme="minorEastAsia" w:hAnsiTheme="minorEastAsia"/>
                <w:sz w:val="18"/>
                <w:szCs w:val="18"/>
              </w:rPr>
            </w:pPr>
            <w:r>
              <w:rPr>
                <w:rFonts w:hint="eastAsia" w:cs="宋体" w:asciiTheme="minorEastAsia" w:hAnsiTheme="minorEastAsia"/>
                <w:sz w:val="18"/>
                <w:szCs w:val="18"/>
              </w:rPr>
              <w:t>出入口控制机</w:t>
            </w:r>
          </w:p>
        </w:tc>
        <w:tc>
          <w:tcPr>
            <w:tcW w:w="1189" w:type="dxa"/>
            <w:vAlign w:val="center"/>
          </w:tcPr>
          <w:p>
            <w:pPr>
              <w:spacing w:line="360" w:lineRule="auto"/>
              <w:rPr>
                <w:rFonts w:cs="宋体" w:asciiTheme="minorEastAsia" w:hAnsiTheme="minorEastAsia"/>
                <w:sz w:val="18"/>
                <w:szCs w:val="18"/>
              </w:rPr>
            </w:pPr>
            <w:r>
              <w:rPr>
                <w:rFonts w:hint="eastAsia" w:cs="宋体" w:asciiTheme="minorEastAsia" w:hAnsiTheme="minorEastAsia"/>
                <w:sz w:val="18"/>
                <w:szCs w:val="18"/>
              </w:rPr>
              <w:t>机箱</w:t>
            </w:r>
          </w:p>
        </w:tc>
        <w:tc>
          <w:tcPr>
            <w:tcW w:w="6674" w:type="dxa"/>
            <w:vAlign w:val="center"/>
          </w:tcPr>
          <w:p>
            <w:pPr>
              <w:spacing w:line="360" w:lineRule="auto"/>
              <w:rPr>
                <w:rFonts w:cs="宋体" w:asciiTheme="minorEastAsia" w:hAnsiTheme="minorEastAsia"/>
                <w:sz w:val="18"/>
                <w:szCs w:val="18"/>
              </w:rPr>
            </w:pPr>
            <w:r>
              <w:rPr>
                <w:rFonts w:hint="eastAsia" w:cs="宋体" w:asciiTheme="minorEastAsia" w:hAnsiTheme="minorEastAsia"/>
                <w:sz w:val="18"/>
                <w:szCs w:val="18"/>
              </w:rPr>
              <w:t>符合“GA36-1992”、“GA36.1-2001”、“GA36-2007”标准的民用车牌照和“2012式”军车牌照、“2012式”武警车牌照的汉字、字母、数字、颜色等信息</w:t>
            </w:r>
            <w:r>
              <w:rPr>
                <w:rFonts w:hint="eastAsia" w:cs="宋体" w:asciiTheme="minorEastAsia" w:hAnsiTheme="minorEastAsia"/>
                <w:sz w:val="18"/>
                <w:szCs w:val="18"/>
              </w:rPr>
              <w:br w:type="textWrapping"/>
            </w:r>
            <w:r>
              <w:rPr>
                <w:rFonts w:hint="eastAsia" w:cs="宋体" w:asciiTheme="minorEastAsia" w:hAnsiTheme="minorEastAsia"/>
                <w:sz w:val="18"/>
                <w:szCs w:val="18"/>
              </w:rPr>
              <w:t>有车牌通过视频流识别，无牌车通过地感抓拍放行</w:t>
            </w:r>
            <w:r>
              <w:rPr>
                <w:rFonts w:hint="eastAsia" w:cs="宋体" w:asciiTheme="minorEastAsia" w:hAnsiTheme="minorEastAsia"/>
                <w:sz w:val="18"/>
                <w:szCs w:val="18"/>
              </w:rPr>
              <w:br w:type="textWrapping"/>
            </w:r>
            <w:r>
              <w:rPr>
                <w:rFonts w:hint="eastAsia" w:cs="宋体" w:asciiTheme="minorEastAsia" w:hAnsiTheme="minorEastAsia"/>
                <w:sz w:val="18"/>
                <w:szCs w:val="18"/>
              </w:rPr>
              <w:t>IP54</w:t>
            </w:r>
            <w:r>
              <w:rPr>
                <w:rFonts w:hint="eastAsia" w:cs="宋体" w:asciiTheme="minorEastAsia" w:hAnsiTheme="minorEastAsia"/>
                <w:sz w:val="18"/>
                <w:szCs w:val="18"/>
              </w:rPr>
              <w:br w:type="textWrapping"/>
            </w:r>
            <w:r>
              <w:rPr>
                <w:rFonts w:hint="eastAsia" w:cs="宋体" w:asciiTheme="minorEastAsia" w:hAnsiTheme="minorEastAsia"/>
                <w:sz w:val="18"/>
                <w:szCs w:val="18"/>
              </w:rPr>
              <w:t>脱机存储容量10万条，脱机抓拍图像1万张</w:t>
            </w:r>
            <w:r>
              <w:rPr>
                <w:rFonts w:hint="eastAsia" w:cs="宋体" w:asciiTheme="minorEastAsia" w:hAnsiTheme="minorEastAsia"/>
                <w:sz w:val="18"/>
                <w:szCs w:val="18"/>
              </w:rPr>
              <w:br w:type="textWrapping"/>
            </w:r>
            <w:r>
              <w:rPr>
                <w:rFonts w:hint="eastAsia" w:cs="宋体" w:asciiTheme="minorEastAsia" w:hAnsiTheme="minorEastAsia"/>
                <w:sz w:val="18"/>
                <w:szCs w:val="18"/>
              </w:rPr>
              <w:t>ARMCortex™-A8 ，主频1GHz ，集成图像处理器DSP+ Cortex-M3</w:t>
            </w:r>
            <w:r>
              <w:rPr>
                <w:rFonts w:hint="eastAsia" w:cs="宋体" w:asciiTheme="minorEastAsia" w:hAnsiTheme="minorEastAsia"/>
                <w:sz w:val="18"/>
                <w:szCs w:val="18"/>
              </w:rPr>
              <w:br w:type="textWrapping"/>
            </w:r>
            <w:r>
              <w:rPr>
                <w:rFonts w:hint="eastAsia" w:cs="宋体" w:asciiTheme="minorEastAsia" w:hAnsiTheme="minorEastAsia"/>
                <w:sz w:val="18"/>
                <w:szCs w:val="18"/>
              </w:rPr>
              <w:t>LINUX操作系统</w:t>
            </w:r>
            <w:r>
              <w:rPr>
                <w:rFonts w:hint="eastAsia" w:cs="宋体" w:asciiTheme="minorEastAsia" w:hAnsiTheme="minorEastAsia"/>
                <w:sz w:val="18"/>
                <w:szCs w:val="18"/>
              </w:rPr>
              <w:br w:type="textWrapping"/>
            </w:r>
            <w:r>
              <w:rPr>
                <w:rFonts w:hint="eastAsia" w:cs="宋体" w:asciiTheme="minorEastAsia" w:hAnsiTheme="minorEastAsia"/>
                <w:sz w:val="18"/>
                <w:szCs w:val="18"/>
              </w:rPr>
              <w:t>SQLite数据库</w:t>
            </w:r>
            <w:r>
              <w:rPr>
                <w:rFonts w:hint="eastAsia" w:cs="宋体" w:asciiTheme="minorEastAsia" w:hAnsiTheme="minorEastAsia"/>
                <w:sz w:val="18"/>
                <w:szCs w:val="18"/>
              </w:rPr>
              <w:br w:type="textWrapping"/>
            </w:r>
            <w:r>
              <w:rPr>
                <w:rFonts w:hint="eastAsia" w:cs="宋体" w:asciiTheme="minorEastAsia" w:hAnsiTheme="minorEastAsia"/>
                <w:sz w:val="18"/>
                <w:szCs w:val="18"/>
              </w:rPr>
              <w:t>内置双路识别模块，单口可支持双路识别协同</w:t>
            </w:r>
            <w:r>
              <w:rPr>
                <w:rFonts w:hint="eastAsia" w:cs="宋体" w:asciiTheme="minorEastAsia" w:hAnsiTheme="minorEastAsia"/>
                <w:sz w:val="18"/>
                <w:szCs w:val="18"/>
              </w:rPr>
              <w:br w:type="textWrapping"/>
            </w:r>
            <w:r>
              <w:rPr>
                <w:rFonts w:hint="eastAsia" w:cs="宋体" w:asciiTheme="minorEastAsia" w:hAnsiTheme="minorEastAsia"/>
                <w:sz w:val="18"/>
                <w:szCs w:val="18"/>
              </w:rPr>
              <w:t>支持固定月卡车辆脱机识别进出，临时车脱机入场</w:t>
            </w:r>
            <w:r>
              <w:rPr>
                <w:rFonts w:hint="eastAsia" w:cs="宋体" w:asciiTheme="minorEastAsia" w:hAnsiTheme="minorEastAsia"/>
                <w:sz w:val="18"/>
                <w:szCs w:val="18"/>
              </w:rPr>
              <w:br w:type="textWrapping"/>
            </w:r>
            <w:r>
              <w:rPr>
                <w:rFonts w:hint="eastAsia" w:cs="宋体" w:asciiTheme="minorEastAsia" w:hAnsiTheme="minorEastAsia"/>
                <w:sz w:val="18"/>
                <w:szCs w:val="18"/>
              </w:rPr>
              <w:t>Lincese认证系统，杜绝假冒伪劣,保障金融电子支付安全</w:t>
            </w:r>
            <w:r>
              <w:rPr>
                <w:rFonts w:hint="eastAsia" w:cs="宋体" w:asciiTheme="minorEastAsia" w:hAnsiTheme="minorEastAsia"/>
                <w:sz w:val="18"/>
                <w:szCs w:val="18"/>
              </w:rPr>
              <w:br w:type="textWrapping"/>
            </w:r>
            <w:r>
              <w:rPr>
                <w:rFonts w:hint="eastAsia" w:cs="宋体" w:asciiTheme="minorEastAsia" w:hAnsiTheme="minorEastAsia"/>
                <w:sz w:val="18"/>
                <w:szCs w:val="18"/>
              </w:rPr>
              <w:t>内置光敏感应补光灯，自动感光开关</w:t>
            </w:r>
            <w:r>
              <w:rPr>
                <w:rFonts w:hint="eastAsia" w:cs="宋体" w:asciiTheme="minorEastAsia" w:hAnsiTheme="minorEastAsia"/>
                <w:sz w:val="18"/>
                <w:szCs w:val="18"/>
              </w:rPr>
              <w:br w:type="textWrapping"/>
            </w:r>
            <w:r>
              <w:rPr>
                <w:rFonts w:hint="eastAsia" w:cs="宋体" w:asciiTheme="minorEastAsia" w:hAnsiTheme="minorEastAsia"/>
                <w:sz w:val="18"/>
                <w:szCs w:val="18"/>
              </w:rPr>
              <w:t>设备标配网络数字对讲，本身具有对讲按钮</w:t>
            </w:r>
            <w:r>
              <w:rPr>
                <w:rFonts w:hint="eastAsia" w:cs="宋体" w:asciiTheme="minorEastAsia" w:hAnsiTheme="minorEastAsia"/>
                <w:sz w:val="18"/>
                <w:szCs w:val="18"/>
              </w:rPr>
              <w:br w:type="textWrapping"/>
            </w:r>
            <w:r>
              <w:rPr>
                <w:rFonts w:hint="eastAsia" w:cs="宋体" w:asciiTheme="minorEastAsia" w:hAnsiTheme="minorEastAsia"/>
                <w:sz w:val="18"/>
                <w:szCs w:val="18"/>
              </w:rPr>
              <w:t>三级防雷设计</w:t>
            </w:r>
            <w:r>
              <w:rPr>
                <w:rFonts w:hint="eastAsia" w:cs="宋体" w:asciiTheme="minorEastAsia" w:hAnsiTheme="minorEastAsia"/>
                <w:sz w:val="18"/>
                <w:szCs w:val="18"/>
              </w:rPr>
              <w:br w:type="textWrapping"/>
            </w:r>
            <w:r>
              <w:rPr>
                <w:rFonts w:hint="eastAsia" w:cs="宋体" w:asciiTheme="minorEastAsia" w:hAnsiTheme="minorEastAsia"/>
                <w:sz w:val="18"/>
                <w:szCs w:val="18"/>
              </w:rPr>
              <w:t>入口显示:无车———第一行显示自编广告，第二行显示剩余车位数；</w:t>
            </w:r>
            <w:r>
              <w:rPr>
                <w:rFonts w:hint="eastAsia" w:cs="宋体" w:asciiTheme="minorEastAsia" w:hAnsiTheme="minorEastAsia"/>
                <w:sz w:val="18"/>
                <w:szCs w:val="18"/>
              </w:rPr>
              <w:br w:type="textWrapping"/>
            </w:r>
            <w:r>
              <w:rPr>
                <w:rFonts w:hint="eastAsia" w:cs="宋体" w:asciiTheme="minorEastAsia" w:hAnsiTheme="minorEastAsia"/>
                <w:sz w:val="18"/>
                <w:szCs w:val="18"/>
              </w:rPr>
              <w:t>有车———第一行显示车牌号码，第二行显示入场时间；</w:t>
            </w:r>
            <w:r>
              <w:rPr>
                <w:rFonts w:hint="eastAsia" w:cs="宋体" w:asciiTheme="minorEastAsia" w:hAnsiTheme="minorEastAsia"/>
                <w:sz w:val="18"/>
                <w:szCs w:val="18"/>
              </w:rPr>
              <w:br w:type="textWrapping"/>
            </w:r>
            <w:r>
              <w:rPr>
                <w:rFonts w:hint="eastAsia" w:cs="宋体" w:asciiTheme="minorEastAsia" w:hAnsiTheme="minorEastAsia"/>
                <w:sz w:val="18"/>
                <w:szCs w:val="18"/>
              </w:rPr>
              <w:t>出口显示: 无车———整屏显示自编广告；</w:t>
            </w:r>
            <w:r>
              <w:rPr>
                <w:rFonts w:hint="eastAsia" w:cs="宋体" w:asciiTheme="minorEastAsia" w:hAnsiTheme="minorEastAsia"/>
                <w:sz w:val="18"/>
                <w:szCs w:val="18"/>
              </w:rPr>
              <w:br w:type="textWrapping"/>
            </w:r>
            <w:r>
              <w:rPr>
                <w:rFonts w:hint="eastAsia" w:cs="宋体" w:asciiTheme="minorEastAsia" w:hAnsiTheme="minorEastAsia"/>
                <w:sz w:val="18"/>
                <w:szCs w:val="18"/>
              </w:rPr>
              <w:t>有车———第一行显示车牌号码，第二行临时车显示收费金额，月卡车显示可使用天数；</w:t>
            </w:r>
            <w:r>
              <w:rPr>
                <w:rFonts w:hint="eastAsia" w:cs="宋体" w:asciiTheme="minorEastAsia" w:hAnsiTheme="minorEastAsia"/>
                <w:sz w:val="18"/>
                <w:szCs w:val="18"/>
              </w:rPr>
              <w:br w:type="textWrapping"/>
            </w:r>
            <w:r>
              <w:rPr>
                <w:rFonts w:hint="eastAsia" w:cs="宋体" w:asciiTheme="minorEastAsia" w:hAnsiTheme="minorEastAsia"/>
                <w:sz w:val="18"/>
                <w:szCs w:val="18"/>
              </w:rPr>
              <w:t>入口语音：欢迎光临；</w:t>
            </w:r>
            <w:r>
              <w:rPr>
                <w:rFonts w:hint="eastAsia" w:cs="宋体" w:asciiTheme="minorEastAsia" w:hAnsiTheme="minorEastAsia"/>
                <w:sz w:val="18"/>
                <w:szCs w:val="18"/>
              </w:rPr>
              <w:br w:type="textWrapping"/>
            </w:r>
            <w:r>
              <w:rPr>
                <w:rFonts w:hint="eastAsia" w:cs="宋体" w:asciiTheme="minorEastAsia" w:hAnsiTheme="minorEastAsia"/>
                <w:sz w:val="18"/>
                <w:szCs w:val="18"/>
              </w:rPr>
              <w:t>出口语音 ：一路顺风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816" w:type="dxa"/>
            <w:vMerge w:val="continue"/>
            <w:vAlign w:val="center"/>
          </w:tcPr>
          <w:p>
            <w:pPr>
              <w:spacing w:line="360" w:lineRule="auto"/>
              <w:rPr>
                <w:rFonts w:cs="宋体" w:asciiTheme="minorEastAsia" w:hAnsiTheme="minorEastAsia"/>
                <w:sz w:val="18"/>
                <w:szCs w:val="18"/>
              </w:rPr>
            </w:pPr>
          </w:p>
        </w:tc>
        <w:tc>
          <w:tcPr>
            <w:tcW w:w="1189" w:type="dxa"/>
            <w:vAlign w:val="center"/>
          </w:tcPr>
          <w:p>
            <w:pPr>
              <w:spacing w:line="360" w:lineRule="auto"/>
              <w:rPr>
                <w:rFonts w:cs="宋体" w:asciiTheme="minorEastAsia" w:hAnsiTheme="minorEastAsia"/>
                <w:sz w:val="18"/>
                <w:szCs w:val="18"/>
              </w:rPr>
            </w:pPr>
            <w:r>
              <w:rPr>
                <w:rFonts w:hint="eastAsia" w:cs="宋体" w:asciiTheme="minorEastAsia" w:hAnsiTheme="minorEastAsia"/>
                <w:sz w:val="18"/>
                <w:szCs w:val="18"/>
              </w:rPr>
              <w:t>控制主板</w:t>
            </w:r>
          </w:p>
        </w:tc>
        <w:tc>
          <w:tcPr>
            <w:tcW w:w="6674" w:type="dxa"/>
            <w:vAlign w:val="center"/>
          </w:tcPr>
          <w:p>
            <w:pPr>
              <w:spacing w:line="360" w:lineRule="auto"/>
              <w:rPr>
                <w:rFonts w:cs="宋体" w:asciiTheme="minorEastAsia" w:hAnsi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816" w:type="dxa"/>
            <w:vMerge w:val="continue"/>
            <w:vAlign w:val="center"/>
          </w:tcPr>
          <w:p>
            <w:pPr>
              <w:spacing w:line="360" w:lineRule="auto"/>
              <w:rPr>
                <w:rFonts w:cs="宋体" w:asciiTheme="minorEastAsia" w:hAnsiTheme="minorEastAsia"/>
                <w:sz w:val="18"/>
                <w:szCs w:val="18"/>
              </w:rPr>
            </w:pPr>
          </w:p>
        </w:tc>
        <w:tc>
          <w:tcPr>
            <w:tcW w:w="1189" w:type="dxa"/>
            <w:vAlign w:val="center"/>
          </w:tcPr>
          <w:p>
            <w:pPr>
              <w:spacing w:line="360" w:lineRule="auto"/>
              <w:rPr>
                <w:rFonts w:cs="宋体" w:asciiTheme="minorEastAsia" w:hAnsiTheme="minorEastAsia"/>
                <w:sz w:val="18"/>
                <w:szCs w:val="18"/>
              </w:rPr>
            </w:pPr>
            <w:r>
              <w:rPr>
                <w:rFonts w:hint="eastAsia" w:cs="宋体" w:asciiTheme="minorEastAsia" w:hAnsiTheme="minorEastAsia"/>
                <w:sz w:val="18"/>
                <w:szCs w:val="18"/>
              </w:rPr>
              <w:t>车牌识别摄像机</w:t>
            </w:r>
          </w:p>
        </w:tc>
        <w:tc>
          <w:tcPr>
            <w:tcW w:w="6674" w:type="dxa"/>
            <w:vAlign w:val="center"/>
          </w:tcPr>
          <w:p>
            <w:pPr>
              <w:spacing w:line="360" w:lineRule="auto"/>
              <w:rPr>
                <w:rFonts w:cs="宋体" w:asciiTheme="minorEastAsia" w:hAnsi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816" w:type="dxa"/>
            <w:vMerge w:val="continue"/>
            <w:vAlign w:val="center"/>
          </w:tcPr>
          <w:p>
            <w:pPr>
              <w:spacing w:line="360" w:lineRule="auto"/>
              <w:rPr>
                <w:rFonts w:cs="宋体" w:asciiTheme="minorEastAsia" w:hAnsiTheme="minorEastAsia"/>
                <w:sz w:val="18"/>
                <w:szCs w:val="18"/>
              </w:rPr>
            </w:pPr>
          </w:p>
        </w:tc>
        <w:tc>
          <w:tcPr>
            <w:tcW w:w="1189" w:type="dxa"/>
            <w:vAlign w:val="center"/>
          </w:tcPr>
          <w:p>
            <w:pPr>
              <w:spacing w:line="360" w:lineRule="auto"/>
              <w:rPr>
                <w:rFonts w:cs="宋体" w:asciiTheme="minorEastAsia" w:hAnsiTheme="minorEastAsia"/>
                <w:sz w:val="18"/>
                <w:szCs w:val="18"/>
              </w:rPr>
            </w:pPr>
            <w:r>
              <w:rPr>
                <w:rFonts w:hint="eastAsia" w:cs="宋体" w:asciiTheme="minorEastAsia" w:hAnsiTheme="minorEastAsia"/>
                <w:sz w:val="18"/>
                <w:szCs w:val="18"/>
              </w:rPr>
              <w:t>LED屏</w:t>
            </w:r>
          </w:p>
        </w:tc>
        <w:tc>
          <w:tcPr>
            <w:tcW w:w="6674" w:type="dxa"/>
            <w:vAlign w:val="center"/>
          </w:tcPr>
          <w:p>
            <w:pPr>
              <w:spacing w:line="360" w:lineRule="auto"/>
              <w:rPr>
                <w:rFonts w:cs="宋体" w:asciiTheme="minorEastAsia" w:hAnsiTheme="minorEastAsia"/>
                <w:sz w:val="18"/>
                <w:szCs w:val="18"/>
              </w:rPr>
            </w:pPr>
            <w:r>
              <w:rPr>
                <w:rFonts w:hint="eastAsia" w:cs="宋体" w:asciiTheme="minorEastAsia" w:hAnsiTheme="minorEastAsia"/>
                <w:sz w:val="18"/>
                <w:szCs w:val="18"/>
              </w:rPr>
              <w:t>屏幕尺寸：300X400mm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816" w:type="dxa"/>
            <w:vMerge w:val="continue"/>
            <w:vAlign w:val="center"/>
          </w:tcPr>
          <w:p>
            <w:pPr>
              <w:spacing w:line="360" w:lineRule="auto"/>
              <w:rPr>
                <w:rFonts w:cs="宋体" w:asciiTheme="minorEastAsia" w:hAnsiTheme="minorEastAsia"/>
                <w:sz w:val="18"/>
                <w:szCs w:val="18"/>
              </w:rPr>
            </w:pPr>
          </w:p>
        </w:tc>
        <w:tc>
          <w:tcPr>
            <w:tcW w:w="1189" w:type="dxa"/>
            <w:vAlign w:val="center"/>
          </w:tcPr>
          <w:p>
            <w:pPr>
              <w:spacing w:line="360" w:lineRule="auto"/>
              <w:rPr>
                <w:rFonts w:cs="宋体" w:asciiTheme="minorEastAsia" w:hAnsiTheme="minorEastAsia"/>
                <w:sz w:val="18"/>
                <w:szCs w:val="18"/>
              </w:rPr>
            </w:pPr>
            <w:r>
              <w:rPr>
                <w:rFonts w:hint="eastAsia" w:cs="宋体" w:asciiTheme="minorEastAsia" w:hAnsiTheme="minorEastAsia"/>
                <w:sz w:val="18"/>
                <w:szCs w:val="18"/>
              </w:rPr>
              <w:t>LED灯</w:t>
            </w:r>
          </w:p>
        </w:tc>
        <w:tc>
          <w:tcPr>
            <w:tcW w:w="6674" w:type="dxa"/>
            <w:vAlign w:val="center"/>
          </w:tcPr>
          <w:p>
            <w:pPr>
              <w:spacing w:line="360" w:lineRule="auto"/>
              <w:rPr>
                <w:rFonts w:cs="宋体" w:asciiTheme="minorEastAsia" w:hAnsiTheme="minorEastAsia"/>
                <w:sz w:val="18"/>
                <w:szCs w:val="18"/>
              </w:rPr>
            </w:pPr>
            <w:r>
              <w:rPr>
                <w:rFonts w:hint="eastAsia" w:cs="宋体" w:asciiTheme="minorEastAsia" w:hAnsiTheme="minorEastAsia"/>
                <w:sz w:val="18"/>
                <w:szCs w:val="18"/>
              </w:rPr>
              <w:t>规格：15～24W（每通道不少于2个补光灯）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816" w:type="dxa"/>
            <w:vAlign w:val="center"/>
          </w:tcPr>
          <w:p>
            <w:pPr>
              <w:spacing w:line="360" w:lineRule="auto"/>
              <w:rPr>
                <w:rFonts w:cs="宋体" w:asciiTheme="minorEastAsia" w:hAnsiTheme="minorEastAsia"/>
                <w:sz w:val="18"/>
                <w:szCs w:val="18"/>
              </w:rPr>
            </w:pPr>
            <w:r>
              <w:rPr>
                <w:rFonts w:hint="eastAsia" w:cs="宋体" w:asciiTheme="minorEastAsia" w:hAnsiTheme="minorEastAsia"/>
                <w:sz w:val="18"/>
                <w:szCs w:val="18"/>
              </w:rPr>
              <w:t>车牌识别辅助摄像机</w:t>
            </w:r>
          </w:p>
        </w:tc>
        <w:tc>
          <w:tcPr>
            <w:tcW w:w="1189" w:type="dxa"/>
            <w:vAlign w:val="center"/>
          </w:tcPr>
          <w:p>
            <w:pPr>
              <w:spacing w:line="360" w:lineRule="auto"/>
              <w:rPr>
                <w:rFonts w:cs="宋体" w:asciiTheme="minorEastAsia" w:hAnsiTheme="minorEastAsia"/>
                <w:sz w:val="18"/>
                <w:szCs w:val="18"/>
              </w:rPr>
            </w:pPr>
            <w:r>
              <w:rPr>
                <w:rFonts w:hint="eastAsia" w:cs="宋体" w:asciiTheme="minorEastAsia" w:hAnsiTheme="minorEastAsia"/>
                <w:sz w:val="18"/>
                <w:szCs w:val="18"/>
              </w:rPr>
              <w:t>广角度模式</w:t>
            </w:r>
          </w:p>
        </w:tc>
        <w:tc>
          <w:tcPr>
            <w:tcW w:w="6674" w:type="dxa"/>
            <w:vAlign w:val="center"/>
          </w:tcPr>
          <w:p>
            <w:pPr>
              <w:spacing w:line="360" w:lineRule="auto"/>
              <w:rPr>
                <w:rFonts w:cs="宋体" w:asciiTheme="minorEastAsia" w:hAnsiTheme="minorEastAsia"/>
                <w:sz w:val="18"/>
                <w:szCs w:val="18"/>
              </w:rPr>
            </w:pPr>
            <w:r>
              <w:rPr>
                <w:rFonts w:hint="eastAsia" w:cs="宋体" w:asciiTheme="minorEastAsia" w:hAnsiTheme="minorEastAsia"/>
                <w:sz w:val="18"/>
                <w:szCs w:val="18"/>
              </w:rPr>
              <w:t>工作电压 AC220V±10%</w:t>
            </w:r>
            <w:r>
              <w:rPr>
                <w:rFonts w:hint="eastAsia" w:cs="宋体" w:asciiTheme="minorEastAsia" w:hAnsiTheme="minorEastAsia"/>
                <w:sz w:val="18"/>
                <w:szCs w:val="18"/>
              </w:rPr>
              <w:br w:type="textWrapping"/>
            </w:r>
            <w:r>
              <w:rPr>
                <w:rFonts w:hint="eastAsia" w:cs="宋体" w:asciiTheme="minorEastAsia" w:hAnsiTheme="minorEastAsia"/>
                <w:sz w:val="18"/>
                <w:szCs w:val="18"/>
              </w:rPr>
              <w:t>工作温度 -25℃~70℃</w:t>
            </w:r>
            <w:r>
              <w:rPr>
                <w:rFonts w:hint="eastAsia" w:cs="宋体" w:asciiTheme="minorEastAsia" w:hAnsiTheme="minorEastAsia"/>
                <w:sz w:val="18"/>
                <w:szCs w:val="18"/>
              </w:rPr>
              <w:br w:type="textWrapping"/>
            </w:r>
            <w:r>
              <w:rPr>
                <w:rFonts w:hint="eastAsia" w:cs="宋体" w:asciiTheme="minorEastAsia" w:hAnsiTheme="minorEastAsia"/>
                <w:sz w:val="18"/>
                <w:szCs w:val="18"/>
              </w:rPr>
              <w:t>储运温度 -30℃~75℃</w:t>
            </w:r>
            <w:r>
              <w:rPr>
                <w:rFonts w:hint="eastAsia" w:cs="宋体" w:asciiTheme="minorEastAsia" w:hAnsiTheme="minorEastAsia"/>
                <w:sz w:val="18"/>
                <w:szCs w:val="18"/>
              </w:rPr>
              <w:br w:type="textWrapping"/>
            </w:r>
            <w:r>
              <w:rPr>
                <w:rFonts w:hint="eastAsia" w:cs="宋体" w:asciiTheme="minorEastAsia" w:hAnsiTheme="minorEastAsia"/>
                <w:sz w:val="18"/>
                <w:szCs w:val="18"/>
              </w:rPr>
              <w:t>相对湿度 ≤95%，无凝露（常温下）</w:t>
            </w:r>
            <w:r>
              <w:rPr>
                <w:rFonts w:hint="eastAsia" w:cs="宋体" w:asciiTheme="minorEastAsia" w:hAnsiTheme="minorEastAsia"/>
                <w:sz w:val="18"/>
                <w:szCs w:val="18"/>
              </w:rPr>
              <w:br w:type="textWrapping"/>
            </w:r>
            <w:r>
              <w:rPr>
                <w:rFonts w:hint="eastAsia" w:cs="宋体" w:asciiTheme="minorEastAsia" w:hAnsiTheme="minorEastAsia"/>
                <w:sz w:val="18"/>
                <w:szCs w:val="18"/>
              </w:rPr>
              <w:t>额定功率 25W</w:t>
            </w:r>
            <w:r>
              <w:rPr>
                <w:rFonts w:hint="eastAsia" w:cs="宋体" w:asciiTheme="minorEastAsia" w:hAnsiTheme="minorEastAsia"/>
                <w:sz w:val="18"/>
                <w:szCs w:val="18"/>
              </w:rPr>
              <w:br w:type="textWrapping"/>
            </w:r>
            <w:r>
              <w:rPr>
                <w:rFonts w:hint="eastAsia" w:cs="宋体" w:asciiTheme="minorEastAsia" w:hAnsiTheme="minorEastAsia"/>
                <w:sz w:val="18"/>
                <w:szCs w:val="18"/>
              </w:rPr>
              <w:t>通讯方式 TCP/IP</w:t>
            </w:r>
            <w:r>
              <w:rPr>
                <w:rFonts w:hint="eastAsia" w:cs="宋体" w:asciiTheme="minorEastAsia" w:hAnsiTheme="minorEastAsia"/>
                <w:sz w:val="18"/>
                <w:szCs w:val="18"/>
              </w:rPr>
              <w:br w:type="textWrapping"/>
            </w:r>
            <w:r>
              <w:rPr>
                <w:rFonts w:hint="eastAsia" w:cs="宋体" w:asciiTheme="minorEastAsia" w:hAnsiTheme="minorEastAsia"/>
                <w:sz w:val="18"/>
                <w:szCs w:val="18"/>
              </w:rPr>
              <w:t>外壳防护等级 IPx4</w:t>
            </w:r>
            <w:r>
              <w:rPr>
                <w:rFonts w:hint="eastAsia" w:cs="宋体" w:asciiTheme="minorEastAsia" w:hAnsiTheme="minorEastAsia"/>
                <w:sz w:val="18"/>
                <w:szCs w:val="18"/>
              </w:rPr>
              <w:br w:type="textWrapping"/>
            </w:r>
            <w:r>
              <w:rPr>
                <w:rFonts w:hint="eastAsia" w:cs="宋体" w:asciiTheme="minorEastAsia" w:hAnsiTheme="minorEastAsia"/>
                <w:sz w:val="18"/>
                <w:szCs w:val="18"/>
              </w:rPr>
              <w:t>环境适应性 通风孔+除雾风扇+防雨护罩</w:t>
            </w:r>
            <w:r>
              <w:rPr>
                <w:rFonts w:hint="eastAsia" w:cs="宋体" w:asciiTheme="minorEastAsia" w:hAnsiTheme="minorEastAsia"/>
                <w:sz w:val="18"/>
                <w:szCs w:val="18"/>
              </w:rPr>
              <w:br w:type="textWrapping"/>
            </w:r>
            <w:r>
              <w:rPr>
                <w:rFonts w:hint="eastAsia" w:cs="宋体" w:asciiTheme="minorEastAsia" w:hAnsiTheme="minorEastAsia"/>
                <w:sz w:val="18"/>
                <w:szCs w:val="18"/>
              </w:rPr>
              <w:t>机箱材质 机身主体采用厚度1.2mm的A3碳刚，喷涂麒麟金色；</w:t>
            </w:r>
            <w:r>
              <w:rPr>
                <w:rFonts w:hint="eastAsia" w:cs="宋体" w:asciiTheme="minorEastAsia" w:hAnsiTheme="minorEastAsia"/>
                <w:sz w:val="18"/>
                <w:szCs w:val="18"/>
              </w:rPr>
              <w:br w:type="textWrapping"/>
            </w:r>
            <w:r>
              <w:rPr>
                <w:rFonts w:hint="eastAsia" w:cs="宋体" w:asciiTheme="minorEastAsia" w:hAnsiTheme="minorEastAsia"/>
                <w:sz w:val="18"/>
                <w:szCs w:val="18"/>
              </w:rPr>
              <w:t xml:space="preserve"> 面板采用厚度为0.6mm的有机玻璃，整体呈黑色，在补光灯与摄像头处做透光处理；</w:t>
            </w:r>
            <w:r>
              <w:rPr>
                <w:rFonts w:hint="eastAsia" w:cs="宋体" w:asciiTheme="minorEastAsia" w:hAnsiTheme="minorEastAsia"/>
                <w:sz w:val="18"/>
                <w:szCs w:val="18"/>
              </w:rPr>
              <w:br w:type="textWrapping"/>
            </w:r>
            <w:r>
              <w:rPr>
                <w:rFonts w:hint="eastAsia" w:cs="宋体" w:asciiTheme="minorEastAsia" w:hAnsiTheme="minorEastAsia"/>
                <w:sz w:val="18"/>
                <w:szCs w:val="18"/>
              </w:rPr>
              <w:t>机箱工艺 钣金模具成型；</w:t>
            </w:r>
            <w:r>
              <w:rPr>
                <w:rFonts w:hint="eastAsia" w:cs="宋体" w:asciiTheme="minorEastAsia" w:hAnsiTheme="minorEastAsia"/>
                <w:sz w:val="18"/>
                <w:szCs w:val="18"/>
              </w:rPr>
              <w:br w:type="textWrapping"/>
            </w:r>
            <w:r>
              <w:rPr>
                <w:rFonts w:hint="eastAsia" w:cs="宋体" w:asciiTheme="minorEastAsia" w:hAnsiTheme="minorEastAsia"/>
                <w:sz w:val="18"/>
                <w:szCs w:val="18"/>
              </w:rPr>
              <w:t xml:space="preserve"> 高档喷粉工艺，喷涂厚度0.8mm~1.0mm；</w:t>
            </w:r>
            <w:r>
              <w:rPr>
                <w:rFonts w:hint="eastAsia" w:cs="宋体" w:asciiTheme="minorEastAsia" w:hAnsiTheme="minorEastAsia"/>
                <w:sz w:val="18"/>
                <w:szCs w:val="18"/>
              </w:rPr>
              <w:br w:type="textWrapping"/>
            </w:r>
            <w:r>
              <w:rPr>
                <w:rFonts w:hint="eastAsia" w:cs="宋体" w:asciiTheme="minorEastAsia" w:hAnsiTheme="minorEastAsia"/>
                <w:sz w:val="18"/>
                <w:szCs w:val="18"/>
              </w:rPr>
              <w:t>静电等级 满足GB/T17626.2规定的 3级测试标准</w:t>
            </w:r>
            <w:r>
              <w:rPr>
                <w:rFonts w:hint="eastAsia" w:cs="宋体" w:asciiTheme="minorEastAsia" w:hAnsiTheme="minorEastAsia"/>
                <w:sz w:val="18"/>
                <w:szCs w:val="18"/>
              </w:rPr>
              <w:br w:type="textWrapping"/>
            </w:r>
            <w:r>
              <w:rPr>
                <w:rFonts w:hint="eastAsia" w:cs="宋体" w:asciiTheme="minorEastAsia" w:hAnsiTheme="minorEastAsia"/>
                <w:sz w:val="18"/>
                <w:szCs w:val="18"/>
              </w:rPr>
              <w:t>介电强度 电源输入端与外壳之间的耐压&gt;1.5kv</w:t>
            </w:r>
            <w:r>
              <w:rPr>
                <w:rFonts w:hint="eastAsia" w:cs="宋体" w:asciiTheme="minorEastAsia" w:hAnsiTheme="minorEastAsia"/>
                <w:sz w:val="18"/>
                <w:szCs w:val="18"/>
              </w:rPr>
              <w:br w:type="textWrapping"/>
            </w:r>
            <w:r>
              <w:rPr>
                <w:rFonts w:hint="eastAsia" w:cs="宋体" w:asciiTheme="minorEastAsia" w:hAnsiTheme="minorEastAsia"/>
                <w:sz w:val="18"/>
                <w:szCs w:val="18"/>
              </w:rPr>
              <w:t>距离地面高度 1100mm</w:t>
            </w:r>
            <w:r>
              <w:rPr>
                <w:rFonts w:hint="eastAsia" w:cs="宋体" w:asciiTheme="minorEastAsia" w:hAnsiTheme="minorEastAsia"/>
                <w:sz w:val="18"/>
                <w:szCs w:val="18"/>
              </w:rPr>
              <w:br w:type="textWrapping"/>
            </w:r>
            <w:r>
              <w:rPr>
                <w:rFonts w:hint="eastAsia" w:cs="宋体" w:asciiTheme="minorEastAsia" w:hAnsiTheme="minorEastAsia"/>
                <w:sz w:val="18"/>
                <w:szCs w:val="18"/>
              </w:rPr>
              <w:t>镜头类型 6 mm定焦镜头</w:t>
            </w:r>
            <w:r>
              <w:rPr>
                <w:rFonts w:hint="eastAsia" w:cs="宋体" w:asciiTheme="minorEastAsia" w:hAnsiTheme="minorEastAsia"/>
                <w:sz w:val="18"/>
                <w:szCs w:val="18"/>
              </w:rPr>
              <w:br w:type="textWrapping"/>
            </w:r>
            <w:r>
              <w:rPr>
                <w:rFonts w:hint="eastAsia" w:cs="宋体" w:asciiTheme="minorEastAsia" w:hAnsiTheme="minorEastAsia"/>
                <w:sz w:val="18"/>
                <w:szCs w:val="18"/>
              </w:rPr>
              <w:t>像素 200万</w:t>
            </w:r>
            <w:r>
              <w:rPr>
                <w:rFonts w:hint="eastAsia" w:cs="宋体" w:asciiTheme="minorEastAsia" w:hAnsiTheme="minorEastAsia"/>
                <w:sz w:val="18"/>
                <w:szCs w:val="18"/>
              </w:rPr>
              <w:br w:type="textWrapping"/>
            </w:r>
            <w:r>
              <w:rPr>
                <w:rFonts w:hint="eastAsia" w:cs="宋体" w:asciiTheme="minorEastAsia" w:hAnsiTheme="minorEastAsia"/>
                <w:sz w:val="18"/>
                <w:szCs w:val="18"/>
              </w:rPr>
              <w:t>分辨率 1080P，720P</w:t>
            </w:r>
            <w:r>
              <w:rPr>
                <w:rFonts w:hint="eastAsia" w:cs="宋体" w:asciiTheme="minorEastAsia" w:hAnsiTheme="minorEastAsia"/>
                <w:sz w:val="18"/>
                <w:szCs w:val="18"/>
              </w:rPr>
              <w:br w:type="textWrapping"/>
            </w:r>
            <w:r>
              <w:rPr>
                <w:rFonts w:hint="eastAsia" w:cs="宋体" w:asciiTheme="minorEastAsia" w:hAnsiTheme="minorEastAsia"/>
                <w:sz w:val="18"/>
                <w:szCs w:val="18"/>
              </w:rPr>
              <w:t>调节角度 角度上、下、左、右可调，调节范围为15度</w:t>
            </w:r>
            <w:r>
              <w:rPr>
                <w:rFonts w:hint="eastAsia" w:cs="宋体" w:asciiTheme="minorEastAsia" w:hAnsiTheme="minorEastAsia"/>
                <w:sz w:val="18"/>
                <w:szCs w:val="18"/>
              </w:rPr>
              <w:br w:type="textWrapping"/>
            </w:r>
            <w:r>
              <w:rPr>
                <w:rFonts w:hint="eastAsia" w:cs="宋体" w:asciiTheme="minorEastAsia" w:hAnsiTheme="minorEastAsia"/>
                <w:sz w:val="18"/>
                <w:szCs w:val="18"/>
              </w:rPr>
              <w:t>距离地面高度 393mm</w:t>
            </w:r>
            <w:r>
              <w:rPr>
                <w:rFonts w:hint="eastAsia" w:cs="宋体" w:asciiTheme="minorEastAsia" w:hAnsiTheme="minorEastAsia"/>
                <w:sz w:val="18"/>
                <w:szCs w:val="18"/>
              </w:rPr>
              <w:br w:type="textWrapping"/>
            </w:r>
            <w:r>
              <w:rPr>
                <w:rFonts w:hint="eastAsia" w:cs="宋体" w:asciiTheme="minorEastAsia" w:hAnsiTheme="minorEastAsia"/>
                <w:sz w:val="18"/>
                <w:szCs w:val="18"/>
              </w:rPr>
              <w:t>补光灯开/关控制 光敏自动控制</w:t>
            </w:r>
            <w:r>
              <w:rPr>
                <w:rFonts w:hint="eastAsia" w:cs="宋体" w:asciiTheme="minorEastAsia" w:hAnsiTheme="minorEastAsia"/>
                <w:sz w:val="18"/>
                <w:szCs w:val="18"/>
              </w:rPr>
              <w:br w:type="textWrapping"/>
            </w:r>
            <w:r>
              <w:rPr>
                <w:rFonts w:hint="eastAsia" w:cs="宋体" w:asciiTheme="minorEastAsia" w:hAnsiTheme="minorEastAsia"/>
                <w:sz w:val="18"/>
                <w:szCs w:val="18"/>
              </w:rPr>
              <w:t>补光距离 5m处光照大于50LUX</w:t>
            </w:r>
            <w:r>
              <w:rPr>
                <w:rFonts w:hint="eastAsia" w:cs="宋体" w:asciiTheme="minorEastAsia" w:hAnsiTheme="minorEastAsia"/>
                <w:sz w:val="18"/>
                <w:szCs w:val="18"/>
              </w:rPr>
              <w:br w:type="textWrapping"/>
            </w:r>
            <w:r>
              <w:rPr>
                <w:rFonts w:hint="eastAsia" w:cs="宋体" w:asciiTheme="minorEastAsia" w:hAnsiTheme="minorEastAsia"/>
                <w:sz w:val="18"/>
                <w:szCs w:val="18"/>
              </w:rPr>
              <w:t>调节角度 角度上、下、左、右可调，调节范围为15度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8679" w:type="dxa"/>
            <w:gridSpan w:val="3"/>
            <w:vAlign w:val="center"/>
          </w:tcPr>
          <w:p>
            <w:pPr>
              <w:spacing w:line="360" w:lineRule="auto"/>
              <w:rPr>
                <w:rFonts w:cs="宋体" w:asciiTheme="minorEastAsia" w:hAnsiTheme="minorEastAsia"/>
                <w:sz w:val="18"/>
                <w:szCs w:val="18"/>
              </w:rPr>
            </w:pPr>
            <w:r>
              <w:rPr>
                <w:rFonts w:hint="eastAsia" w:cs="宋体" w:asciiTheme="minorEastAsia" w:hAnsiTheme="minorEastAsia"/>
                <w:sz w:val="18"/>
                <w:szCs w:val="18"/>
              </w:rPr>
              <w:t>五、学生宿舍智能电表（推荐品牌：常工、威胜、新中新）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2005" w:type="dxa"/>
            <w:gridSpan w:val="2"/>
            <w:vAlign w:val="center"/>
          </w:tcPr>
          <w:p>
            <w:pPr>
              <w:spacing w:line="360" w:lineRule="auto"/>
              <w:rPr>
                <w:rFonts w:cs="宋体" w:asciiTheme="minorEastAsia" w:hAnsiTheme="minorEastAsia"/>
                <w:sz w:val="18"/>
                <w:szCs w:val="18"/>
              </w:rPr>
            </w:pPr>
            <w:r>
              <w:rPr>
                <w:rFonts w:hint="eastAsia" w:cs="宋体" w:asciiTheme="minorEastAsia" w:hAnsiTheme="minorEastAsia"/>
                <w:sz w:val="18"/>
                <w:szCs w:val="18"/>
              </w:rPr>
              <w:t>智能电表</w:t>
            </w:r>
          </w:p>
        </w:tc>
        <w:tc>
          <w:tcPr>
            <w:tcW w:w="6674" w:type="dxa"/>
            <w:vAlign w:val="center"/>
          </w:tcPr>
          <w:p>
            <w:pPr>
              <w:spacing w:line="360" w:lineRule="auto"/>
              <w:rPr>
                <w:rFonts w:cs="宋体" w:asciiTheme="minorEastAsia" w:hAnsiTheme="minorEastAsia"/>
                <w:sz w:val="18"/>
                <w:szCs w:val="18"/>
              </w:rPr>
            </w:pPr>
            <w:r>
              <w:rPr>
                <w:rFonts w:hint="eastAsia" w:cs="宋体" w:asciiTheme="minorEastAsia" w:hAnsiTheme="minorEastAsia"/>
                <w:sz w:val="18"/>
                <w:szCs w:val="18"/>
              </w:rPr>
              <w:t>1、参比电压：220V，电流规格：5(40)A 、10(60)A、5(60)A；</w:t>
            </w:r>
          </w:p>
          <w:p>
            <w:pPr>
              <w:spacing w:line="360" w:lineRule="auto"/>
              <w:rPr>
                <w:rFonts w:cs="宋体" w:asciiTheme="minorEastAsia" w:hAnsiTheme="minorEastAsia"/>
                <w:sz w:val="18"/>
                <w:szCs w:val="18"/>
              </w:rPr>
            </w:pPr>
            <w:r>
              <w:rPr>
                <w:rFonts w:hint="eastAsia" w:cs="宋体" w:asciiTheme="minorEastAsia" w:hAnsiTheme="minorEastAsia"/>
                <w:sz w:val="18"/>
                <w:szCs w:val="18"/>
              </w:rPr>
              <w:t xml:space="preserve">计量准确度：有功1.0级； </w:t>
            </w:r>
          </w:p>
          <w:p>
            <w:pPr>
              <w:spacing w:line="360" w:lineRule="auto"/>
              <w:rPr>
                <w:rFonts w:cs="宋体" w:asciiTheme="minorEastAsia" w:hAnsiTheme="minorEastAsia"/>
                <w:sz w:val="18"/>
                <w:szCs w:val="18"/>
              </w:rPr>
            </w:pPr>
            <w:r>
              <w:rPr>
                <w:rFonts w:hint="eastAsia" w:cs="宋体" w:asciiTheme="minorEastAsia" w:hAnsiTheme="minorEastAsia"/>
                <w:sz w:val="18"/>
                <w:szCs w:val="18"/>
              </w:rPr>
              <w:t>静态功耗：≤1.5W，10VA；</w:t>
            </w:r>
          </w:p>
          <w:p>
            <w:pPr>
              <w:spacing w:line="360" w:lineRule="auto"/>
              <w:rPr>
                <w:rFonts w:cs="宋体" w:asciiTheme="minorEastAsia" w:hAnsiTheme="minorEastAsia"/>
                <w:sz w:val="18"/>
                <w:szCs w:val="18"/>
              </w:rPr>
            </w:pPr>
            <w:r>
              <w:rPr>
                <w:rFonts w:hint="eastAsia" w:cs="宋体" w:asciiTheme="minorEastAsia" w:hAnsiTheme="minorEastAsia"/>
                <w:sz w:val="18"/>
                <w:szCs w:val="18"/>
              </w:rPr>
              <w:t>2、电能表应具备宽视角LCD显示，电能数据显示8位，其中包括6位整数、2位小数；液晶显示带白色背光，通信、按键和报警条件下可点亮背光；电能表须具备2个电能脉冲指示灯，用于两个回路用电指示；应具备跳闸指示灯，跳闸指示灯的指示应能区分两个回路的跳闸、合闸状态。电能表应具备停电抄表功能，电网断电时，电表进入停电工作状态。停电状态下电能表可由按键唤醒显示，背光灯不点亮，用户可按键查询累计电量、剩余金额和通讯地址等数据，唤醒后如无操作，自动循环显示一遍后关闭显示。</w:t>
            </w:r>
          </w:p>
          <w:p>
            <w:pPr>
              <w:spacing w:line="360" w:lineRule="auto"/>
              <w:rPr>
                <w:rFonts w:cs="宋体" w:asciiTheme="minorEastAsia" w:hAnsiTheme="minorEastAsia"/>
                <w:sz w:val="18"/>
                <w:szCs w:val="18"/>
              </w:rPr>
            </w:pPr>
            <w:r>
              <w:rPr>
                <w:rFonts w:hint="eastAsia" w:cs="宋体" w:asciiTheme="minorEastAsia" w:hAnsiTheme="minorEastAsia"/>
                <w:sz w:val="18"/>
                <w:szCs w:val="18"/>
              </w:rPr>
              <w:t>4、电能表应具备RS-485通讯接口，光电隔离，有效防止雷击、浪涌等破坏性干扰；须具备远红外通信接口，支持掌机抄表和设参。通信协议应支持DL/T 645-2007。</w:t>
            </w:r>
          </w:p>
          <w:p>
            <w:pPr>
              <w:spacing w:line="360" w:lineRule="auto"/>
              <w:rPr>
                <w:rFonts w:cs="宋体" w:asciiTheme="minorEastAsia" w:hAnsiTheme="minorEastAsia"/>
                <w:sz w:val="18"/>
                <w:szCs w:val="18"/>
              </w:rPr>
            </w:pPr>
            <w:r>
              <w:rPr>
                <w:rFonts w:hint="eastAsia" w:cs="宋体" w:asciiTheme="minorEastAsia" w:hAnsiTheme="minorEastAsia"/>
                <w:sz w:val="18"/>
                <w:szCs w:val="18"/>
              </w:rPr>
              <w:t>5、电能表应具备电能脉冲输出端口和日时钟误差检测端口。</w:t>
            </w:r>
          </w:p>
          <w:p>
            <w:pPr>
              <w:spacing w:line="360" w:lineRule="auto"/>
              <w:rPr>
                <w:rFonts w:cs="宋体" w:asciiTheme="minorEastAsia" w:hAnsiTheme="minorEastAsia"/>
                <w:sz w:val="18"/>
                <w:szCs w:val="18"/>
              </w:rPr>
            </w:pPr>
            <w:r>
              <w:rPr>
                <w:rFonts w:hint="eastAsia" w:cs="宋体" w:asciiTheme="minorEastAsia" w:hAnsiTheme="minorEastAsia"/>
                <w:sz w:val="18"/>
                <w:szCs w:val="18"/>
              </w:rPr>
              <w:t>6、电能表应具备两路阀控功能，内置两路高可靠性磁保持继电器，两路阀控相互独立，都支持远程拉合闸控制，当远程发出跳、合闸、保电、解除保电等命令时，内置开关能做出相应的动作，以实现远程控制；支持本地费控，用户欠费后能自动跳闸。</w:t>
            </w:r>
          </w:p>
          <w:p>
            <w:pPr>
              <w:spacing w:line="360" w:lineRule="auto"/>
              <w:rPr>
                <w:rFonts w:cs="宋体" w:asciiTheme="minorEastAsia" w:hAnsiTheme="minorEastAsia"/>
                <w:sz w:val="18"/>
                <w:szCs w:val="18"/>
              </w:rPr>
            </w:pPr>
            <w:r>
              <w:rPr>
                <w:rFonts w:hint="eastAsia" w:cs="宋体" w:asciiTheme="minorEastAsia" w:hAnsiTheme="minorEastAsia"/>
                <w:sz w:val="18"/>
                <w:szCs w:val="18"/>
              </w:rPr>
              <w:t>7、电能表可分别计量两个独立回路正向和反向有功电能，具备月结算功能，至少可存储12个月历史电量数据，可独立保留两个回路的所有电量数据；电能表可测量两回路电压、电流、功率和功率因数等电网参数。</w:t>
            </w:r>
          </w:p>
          <w:p>
            <w:pPr>
              <w:spacing w:line="360" w:lineRule="auto"/>
              <w:rPr>
                <w:rFonts w:cs="宋体" w:asciiTheme="minorEastAsia" w:hAnsiTheme="minorEastAsia"/>
                <w:sz w:val="18"/>
                <w:szCs w:val="18"/>
              </w:rPr>
            </w:pPr>
            <w:r>
              <w:rPr>
                <w:rFonts w:hint="eastAsia" w:cs="宋体" w:asciiTheme="minorEastAsia" w:hAnsiTheme="minorEastAsia"/>
                <w:sz w:val="18"/>
                <w:szCs w:val="18"/>
              </w:rPr>
              <w:t>8、支持远程费控和本地费控模式，两种模式可切换。</w:t>
            </w:r>
          </w:p>
          <w:p>
            <w:pPr>
              <w:spacing w:line="360" w:lineRule="auto"/>
              <w:rPr>
                <w:rFonts w:cs="宋体" w:asciiTheme="minorEastAsia" w:hAnsiTheme="minorEastAsia"/>
                <w:sz w:val="18"/>
                <w:szCs w:val="18"/>
              </w:rPr>
            </w:pPr>
            <w:r>
              <w:rPr>
                <w:rFonts w:hint="eastAsia" w:cs="宋体" w:asciiTheme="minorEastAsia" w:hAnsiTheme="minorEastAsia"/>
                <w:sz w:val="18"/>
                <w:szCs w:val="18"/>
              </w:rPr>
              <w:t>9、电能表应具备掉电、校时、编程、购电、退费和拉合闸等事件记录功能，须保存最近10次的记录信息。</w:t>
            </w:r>
          </w:p>
          <w:p>
            <w:pPr>
              <w:spacing w:line="360" w:lineRule="auto"/>
              <w:rPr>
                <w:rFonts w:cs="宋体" w:asciiTheme="minorEastAsia" w:hAnsiTheme="minorEastAsia"/>
                <w:sz w:val="18"/>
                <w:szCs w:val="18"/>
              </w:rPr>
            </w:pPr>
            <w:r>
              <w:rPr>
                <w:rFonts w:hint="eastAsia" w:cs="宋体" w:asciiTheme="minorEastAsia" w:hAnsiTheme="minorEastAsia"/>
                <w:sz w:val="18"/>
                <w:szCs w:val="18"/>
              </w:rPr>
              <w:t>10、电能表应具有多种电量冻结功能，以便用户进行用电信息的统计。电能表应支持日冻结、定时冻结、约定冻结和整点冻结功能；可保存最近60次的定时冻结记录，保存最近62次日冻结数据和最近254次整点冻结（小时冻结）数据，整点冻结时间间隔可设设置为30或60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8679" w:type="dxa"/>
            <w:gridSpan w:val="3"/>
            <w:vAlign w:val="center"/>
          </w:tcPr>
          <w:p>
            <w:pPr>
              <w:spacing w:line="360" w:lineRule="auto"/>
              <w:rPr>
                <w:rFonts w:cs="宋体" w:asciiTheme="minorEastAsia" w:hAnsiTheme="minorEastAsia"/>
                <w:sz w:val="18"/>
                <w:szCs w:val="18"/>
              </w:rPr>
            </w:pPr>
            <w:r>
              <w:rPr>
                <w:rFonts w:hint="eastAsia" w:cs="宋体" w:asciiTheme="minorEastAsia" w:hAnsiTheme="minorEastAsia"/>
                <w:sz w:val="18"/>
                <w:szCs w:val="18"/>
              </w:rPr>
              <w:t>六、校区大门人脸通道（大华、海康、新中新）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2005" w:type="dxa"/>
            <w:gridSpan w:val="2"/>
            <w:vAlign w:val="center"/>
          </w:tcPr>
          <w:p>
            <w:pPr>
              <w:spacing w:line="360" w:lineRule="auto"/>
              <w:rPr>
                <w:rFonts w:cs="宋体" w:asciiTheme="minorEastAsia" w:hAnsiTheme="minorEastAsia"/>
                <w:sz w:val="18"/>
                <w:szCs w:val="18"/>
              </w:rPr>
            </w:pPr>
            <w:r>
              <w:rPr>
                <w:rFonts w:hint="eastAsia" w:cs="宋体" w:asciiTheme="minorEastAsia" w:hAnsiTheme="minorEastAsia"/>
                <w:sz w:val="18"/>
                <w:szCs w:val="18"/>
              </w:rPr>
              <w:t>单机芯速通摆闸</w:t>
            </w:r>
          </w:p>
        </w:tc>
        <w:tc>
          <w:tcPr>
            <w:tcW w:w="6674" w:type="dxa"/>
            <w:vAlign w:val="center"/>
          </w:tcPr>
          <w:p>
            <w:pPr>
              <w:spacing w:line="360" w:lineRule="auto"/>
              <w:rPr>
                <w:rFonts w:cs="宋体" w:asciiTheme="minorEastAsia" w:hAnsiTheme="minorEastAsia"/>
                <w:sz w:val="18"/>
                <w:szCs w:val="18"/>
              </w:rPr>
            </w:pPr>
            <w:r>
              <w:rPr>
                <w:rFonts w:hint="eastAsia" w:cs="宋体" w:asciiTheme="minorEastAsia" w:hAnsiTheme="minorEastAsia"/>
                <w:sz w:val="18"/>
                <w:szCs w:val="18"/>
              </w:rPr>
              <w:t>产品尺寸： H：980mm，L1500mm及W150mm</w:t>
            </w:r>
          </w:p>
          <w:p>
            <w:pPr>
              <w:spacing w:line="360" w:lineRule="auto"/>
              <w:rPr>
                <w:rFonts w:cs="宋体" w:asciiTheme="minorEastAsia" w:hAnsiTheme="minorEastAsia"/>
                <w:sz w:val="18"/>
                <w:szCs w:val="18"/>
              </w:rPr>
            </w:pPr>
            <w:r>
              <w:rPr>
                <w:rFonts w:hint="eastAsia" w:cs="宋体" w:asciiTheme="minorEastAsia" w:hAnsiTheme="minorEastAsia"/>
                <w:sz w:val="18"/>
                <w:szCs w:val="18"/>
              </w:rPr>
              <w:t>机箱材质： 不锈钢+钢化玻璃</w:t>
            </w:r>
          </w:p>
          <w:p>
            <w:pPr>
              <w:spacing w:line="360" w:lineRule="auto"/>
              <w:rPr>
                <w:rFonts w:cs="宋体" w:asciiTheme="minorEastAsia" w:hAnsiTheme="minorEastAsia"/>
                <w:sz w:val="18"/>
                <w:szCs w:val="18"/>
              </w:rPr>
            </w:pPr>
            <w:r>
              <w:rPr>
                <w:rFonts w:hint="eastAsia" w:cs="宋体" w:asciiTheme="minorEastAsia" w:hAnsiTheme="minorEastAsia"/>
                <w:sz w:val="18"/>
                <w:szCs w:val="18"/>
              </w:rPr>
              <w:t>面饰： 刷卡面板配logo丝印、刷卡标识</w:t>
            </w:r>
          </w:p>
          <w:p>
            <w:pPr>
              <w:spacing w:line="360" w:lineRule="auto"/>
              <w:rPr>
                <w:rFonts w:cs="宋体" w:asciiTheme="minorEastAsia" w:hAnsiTheme="minorEastAsia"/>
                <w:sz w:val="18"/>
                <w:szCs w:val="18"/>
              </w:rPr>
            </w:pPr>
            <w:r>
              <w:rPr>
                <w:rFonts w:hint="eastAsia" w:cs="宋体" w:asciiTheme="minorEastAsia" w:hAnsiTheme="minorEastAsia"/>
                <w:sz w:val="18"/>
                <w:szCs w:val="18"/>
              </w:rPr>
              <w:t>标准通道净通道宽： 600/900mm</w:t>
            </w:r>
          </w:p>
          <w:p>
            <w:pPr>
              <w:spacing w:line="360" w:lineRule="auto"/>
              <w:rPr>
                <w:rFonts w:cs="宋体" w:asciiTheme="minorEastAsia" w:hAnsiTheme="minorEastAsia"/>
                <w:sz w:val="18"/>
                <w:szCs w:val="18"/>
              </w:rPr>
            </w:pPr>
            <w:r>
              <w:rPr>
                <w:rFonts w:hint="eastAsia" w:cs="宋体" w:asciiTheme="minorEastAsia" w:hAnsiTheme="minorEastAsia"/>
                <w:sz w:val="18"/>
                <w:szCs w:val="18"/>
              </w:rPr>
              <w:t>挡板高度： 800mm</w:t>
            </w:r>
          </w:p>
          <w:p>
            <w:pPr>
              <w:spacing w:line="360" w:lineRule="auto"/>
              <w:rPr>
                <w:rFonts w:cs="宋体" w:asciiTheme="minorEastAsia" w:hAnsiTheme="minorEastAsia"/>
                <w:sz w:val="18"/>
                <w:szCs w:val="18"/>
              </w:rPr>
            </w:pPr>
            <w:r>
              <w:rPr>
                <w:rFonts w:hint="eastAsia" w:cs="宋体" w:asciiTheme="minorEastAsia" w:hAnsiTheme="minorEastAsia"/>
                <w:sz w:val="18"/>
                <w:szCs w:val="18"/>
              </w:rPr>
              <w:t>行人检测器： 条形光栅</w:t>
            </w:r>
          </w:p>
          <w:p>
            <w:pPr>
              <w:spacing w:line="360" w:lineRule="auto"/>
              <w:rPr>
                <w:rFonts w:cs="宋体" w:asciiTheme="minorEastAsia" w:hAnsiTheme="minorEastAsia"/>
                <w:sz w:val="18"/>
                <w:szCs w:val="18"/>
              </w:rPr>
            </w:pPr>
            <w:r>
              <w:rPr>
                <w:rFonts w:hint="eastAsia" w:cs="宋体" w:asciiTheme="minorEastAsia" w:hAnsiTheme="minorEastAsia"/>
                <w:sz w:val="18"/>
                <w:szCs w:val="18"/>
              </w:rPr>
              <w:t>闸板材质： 8mm有机玻璃</w:t>
            </w:r>
          </w:p>
          <w:p>
            <w:pPr>
              <w:spacing w:line="360" w:lineRule="auto"/>
              <w:rPr>
                <w:rFonts w:cs="宋体" w:asciiTheme="minorEastAsia" w:hAnsiTheme="minorEastAsia"/>
                <w:sz w:val="18"/>
                <w:szCs w:val="18"/>
              </w:rPr>
            </w:pPr>
            <w:r>
              <w:rPr>
                <w:rFonts w:hint="eastAsia" w:cs="宋体" w:asciiTheme="minorEastAsia" w:hAnsiTheme="minorEastAsia"/>
                <w:sz w:val="18"/>
                <w:szCs w:val="18"/>
              </w:rPr>
              <w:t>通信接口： RS485 标准 距离≤1200 米</w:t>
            </w:r>
          </w:p>
          <w:p>
            <w:pPr>
              <w:spacing w:line="360" w:lineRule="auto"/>
              <w:rPr>
                <w:rFonts w:cs="宋体" w:asciiTheme="minorEastAsia" w:hAnsiTheme="minorEastAsia"/>
                <w:sz w:val="18"/>
                <w:szCs w:val="18"/>
              </w:rPr>
            </w:pPr>
            <w:r>
              <w:rPr>
                <w:rFonts w:hint="eastAsia" w:cs="宋体" w:asciiTheme="minorEastAsia" w:hAnsiTheme="minorEastAsia"/>
                <w:sz w:val="18"/>
                <w:szCs w:val="18"/>
              </w:rPr>
              <w:t>工作电压： AC220V ±10%/AC110V ±10%，50/60HZ</w:t>
            </w:r>
          </w:p>
          <w:p>
            <w:pPr>
              <w:spacing w:line="360" w:lineRule="auto"/>
              <w:rPr>
                <w:rFonts w:cs="宋体" w:asciiTheme="minorEastAsia" w:hAnsiTheme="minorEastAsia"/>
                <w:sz w:val="18"/>
                <w:szCs w:val="18"/>
              </w:rPr>
            </w:pPr>
            <w:r>
              <w:rPr>
                <w:rFonts w:hint="eastAsia" w:cs="宋体" w:asciiTheme="minorEastAsia" w:hAnsiTheme="minorEastAsia"/>
                <w:sz w:val="18"/>
                <w:szCs w:val="18"/>
              </w:rPr>
              <w:t>通行能力： 正常通行量：30人/分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2005" w:type="dxa"/>
            <w:gridSpan w:val="2"/>
            <w:vAlign w:val="center"/>
          </w:tcPr>
          <w:p>
            <w:pPr>
              <w:spacing w:line="360" w:lineRule="auto"/>
              <w:rPr>
                <w:rFonts w:cs="宋体" w:asciiTheme="minorEastAsia" w:hAnsiTheme="minorEastAsia"/>
                <w:sz w:val="18"/>
                <w:szCs w:val="18"/>
              </w:rPr>
            </w:pPr>
            <w:r>
              <w:rPr>
                <w:rFonts w:hint="eastAsia" w:cs="宋体" w:asciiTheme="minorEastAsia" w:hAnsiTheme="minorEastAsia"/>
                <w:sz w:val="18"/>
                <w:szCs w:val="18"/>
              </w:rPr>
              <w:t>双机芯速通摆闸</w:t>
            </w:r>
          </w:p>
        </w:tc>
        <w:tc>
          <w:tcPr>
            <w:tcW w:w="6674" w:type="dxa"/>
            <w:vAlign w:val="center"/>
          </w:tcPr>
          <w:p>
            <w:pPr>
              <w:spacing w:line="360" w:lineRule="auto"/>
              <w:rPr>
                <w:rFonts w:cs="宋体" w:asciiTheme="minorEastAsia" w:hAnsiTheme="minorEastAsia"/>
                <w:sz w:val="18"/>
                <w:szCs w:val="18"/>
              </w:rPr>
            </w:pPr>
            <w:r>
              <w:rPr>
                <w:rFonts w:hint="eastAsia" w:cs="宋体" w:asciiTheme="minorEastAsia" w:hAnsiTheme="minorEastAsia"/>
                <w:sz w:val="18"/>
                <w:szCs w:val="18"/>
              </w:rPr>
              <w:t>产品尺寸： H：980mm，L1500mm及W150mm</w:t>
            </w:r>
          </w:p>
          <w:p>
            <w:pPr>
              <w:spacing w:line="360" w:lineRule="auto"/>
              <w:rPr>
                <w:rFonts w:cs="宋体" w:asciiTheme="minorEastAsia" w:hAnsiTheme="minorEastAsia"/>
                <w:sz w:val="18"/>
                <w:szCs w:val="18"/>
              </w:rPr>
            </w:pPr>
            <w:r>
              <w:rPr>
                <w:rFonts w:hint="eastAsia" w:cs="宋体" w:asciiTheme="minorEastAsia" w:hAnsiTheme="minorEastAsia"/>
                <w:sz w:val="18"/>
                <w:szCs w:val="18"/>
              </w:rPr>
              <w:t>机箱材质： 不锈钢+钢化玻璃</w:t>
            </w:r>
          </w:p>
          <w:p>
            <w:pPr>
              <w:spacing w:line="360" w:lineRule="auto"/>
              <w:rPr>
                <w:rFonts w:cs="宋体" w:asciiTheme="minorEastAsia" w:hAnsiTheme="minorEastAsia"/>
                <w:sz w:val="18"/>
                <w:szCs w:val="18"/>
              </w:rPr>
            </w:pPr>
            <w:r>
              <w:rPr>
                <w:rFonts w:hint="eastAsia" w:cs="宋体" w:asciiTheme="minorEastAsia" w:hAnsiTheme="minorEastAsia"/>
                <w:sz w:val="18"/>
                <w:szCs w:val="18"/>
              </w:rPr>
              <w:t>面饰： 刷卡面板配logo丝印、刷卡标识</w:t>
            </w:r>
          </w:p>
          <w:p>
            <w:pPr>
              <w:spacing w:line="360" w:lineRule="auto"/>
              <w:rPr>
                <w:rFonts w:cs="宋体" w:asciiTheme="minorEastAsia" w:hAnsiTheme="minorEastAsia"/>
                <w:sz w:val="18"/>
                <w:szCs w:val="18"/>
              </w:rPr>
            </w:pPr>
            <w:r>
              <w:rPr>
                <w:rFonts w:hint="eastAsia" w:cs="宋体" w:asciiTheme="minorEastAsia" w:hAnsiTheme="minorEastAsia"/>
                <w:sz w:val="18"/>
                <w:szCs w:val="18"/>
              </w:rPr>
              <w:t>标准通道净通道宽： 600/900mm</w:t>
            </w:r>
          </w:p>
          <w:p>
            <w:pPr>
              <w:spacing w:line="360" w:lineRule="auto"/>
              <w:rPr>
                <w:rFonts w:cs="宋体" w:asciiTheme="minorEastAsia" w:hAnsiTheme="minorEastAsia"/>
                <w:sz w:val="18"/>
                <w:szCs w:val="18"/>
              </w:rPr>
            </w:pPr>
            <w:r>
              <w:rPr>
                <w:rFonts w:hint="eastAsia" w:cs="宋体" w:asciiTheme="minorEastAsia" w:hAnsiTheme="minorEastAsia"/>
                <w:sz w:val="18"/>
                <w:szCs w:val="18"/>
              </w:rPr>
              <w:t>挡板高度： 800mm</w:t>
            </w:r>
          </w:p>
          <w:p>
            <w:pPr>
              <w:spacing w:line="360" w:lineRule="auto"/>
              <w:rPr>
                <w:rFonts w:cs="宋体" w:asciiTheme="minorEastAsia" w:hAnsiTheme="minorEastAsia"/>
                <w:sz w:val="18"/>
                <w:szCs w:val="18"/>
              </w:rPr>
            </w:pPr>
            <w:r>
              <w:rPr>
                <w:rFonts w:hint="eastAsia" w:cs="宋体" w:asciiTheme="minorEastAsia" w:hAnsiTheme="minorEastAsia"/>
                <w:sz w:val="18"/>
                <w:szCs w:val="18"/>
              </w:rPr>
              <w:t>行人检测器： 条形光栅</w:t>
            </w:r>
          </w:p>
          <w:p>
            <w:pPr>
              <w:spacing w:line="360" w:lineRule="auto"/>
              <w:rPr>
                <w:rFonts w:cs="宋体" w:asciiTheme="minorEastAsia" w:hAnsiTheme="minorEastAsia"/>
                <w:sz w:val="18"/>
                <w:szCs w:val="18"/>
              </w:rPr>
            </w:pPr>
            <w:r>
              <w:rPr>
                <w:rFonts w:hint="eastAsia" w:cs="宋体" w:asciiTheme="minorEastAsia" w:hAnsiTheme="minorEastAsia"/>
                <w:sz w:val="18"/>
                <w:szCs w:val="18"/>
              </w:rPr>
              <w:t>闸板材质： 8mm有机玻璃</w:t>
            </w:r>
          </w:p>
          <w:p>
            <w:pPr>
              <w:spacing w:line="360" w:lineRule="auto"/>
              <w:rPr>
                <w:rFonts w:cs="宋体" w:asciiTheme="minorEastAsia" w:hAnsiTheme="minorEastAsia"/>
                <w:sz w:val="18"/>
                <w:szCs w:val="18"/>
              </w:rPr>
            </w:pPr>
            <w:r>
              <w:rPr>
                <w:rFonts w:hint="eastAsia" w:cs="宋体" w:asciiTheme="minorEastAsia" w:hAnsiTheme="minorEastAsia"/>
                <w:sz w:val="18"/>
                <w:szCs w:val="18"/>
              </w:rPr>
              <w:t>通信接口： RS485 标准 距离≤1200 米</w:t>
            </w:r>
          </w:p>
          <w:p>
            <w:pPr>
              <w:spacing w:line="360" w:lineRule="auto"/>
              <w:rPr>
                <w:rFonts w:cs="宋体" w:asciiTheme="minorEastAsia" w:hAnsiTheme="minorEastAsia"/>
                <w:sz w:val="18"/>
                <w:szCs w:val="18"/>
              </w:rPr>
            </w:pPr>
            <w:r>
              <w:rPr>
                <w:rFonts w:hint="eastAsia" w:cs="宋体" w:asciiTheme="minorEastAsia" w:hAnsiTheme="minorEastAsia"/>
                <w:sz w:val="18"/>
                <w:szCs w:val="18"/>
              </w:rPr>
              <w:t>工作电压： AC220V ±10%/AC110V ±10%，50/60HZ</w:t>
            </w:r>
          </w:p>
          <w:p>
            <w:pPr>
              <w:spacing w:line="360" w:lineRule="auto"/>
              <w:rPr>
                <w:rFonts w:cs="宋体" w:asciiTheme="minorEastAsia" w:hAnsiTheme="minorEastAsia"/>
                <w:sz w:val="18"/>
                <w:szCs w:val="18"/>
              </w:rPr>
            </w:pPr>
            <w:r>
              <w:rPr>
                <w:rFonts w:hint="eastAsia" w:cs="宋体" w:asciiTheme="minorEastAsia" w:hAnsiTheme="minorEastAsia"/>
                <w:sz w:val="18"/>
                <w:szCs w:val="18"/>
              </w:rPr>
              <w:t>通行能力： 正常通行量：30人/分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2005" w:type="dxa"/>
            <w:gridSpan w:val="2"/>
            <w:vAlign w:val="center"/>
          </w:tcPr>
          <w:p>
            <w:pPr>
              <w:spacing w:line="360" w:lineRule="auto"/>
              <w:rPr>
                <w:rFonts w:cs="宋体" w:asciiTheme="minorEastAsia" w:hAnsiTheme="minorEastAsia"/>
                <w:sz w:val="18"/>
                <w:szCs w:val="18"/>
              </w:rPr>
            </w:pPr>
            <w:r>
              <w:rPr>
                <w:rFonts w:hint="eastAsia" w:cs="宋体" w:asciiTheme="minorEastAsia" w:hAnsiTheme="minorEastAsia"/>
                <w:sz w:val="18"/>
                <w:szCs w:val="18"/>
              </w:rPr>
              <w:t>人脸识别一体式门禁</w:t>
            </w:r>
          </w:p>
        </w:tc>
        <w:tc>
          <w:tcPr>
            <w:tcW w:w="6674" w:type="dxa"/>
            <w:vAlign w:val="center"/>
          </w:tcPr>
          <w:p>
            <w:pPr>
              <w:spacing w:line="360" w:lineRule="auto"/>
              <w:rPr>
                <w:rFonts w:cs="宋体" w:asciiTheme="minorEastAsia" w:hAnsiTheme="minorEastAsia"/>
                <w:sz w:val="18"/>
                <w:szCs w:val="18"/>
              </w:rPr>
            </w:pPr>
            <w:r>
              <w:rPr>
                <w:rFonts w:hint="eastAsia" w:cs="宋体" w:asciiTheme="minorEastAsia" w:hAnsiTheme="minorEastAsia"/>
                <w:sz w:val="18"/>
                <w:szCs w:val="18"/>
              </w:rPr>
              <w:t>通行介质：人脸，刷卡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8679" w:type="dxa"/>
            <w:gridSpan w:val="3"/>
            <w:vAlign w:val="center"/>
          </w:tcPr>
          <w:p>
            <w:pPr>
              <w:spacing w:line="360" w:lineRule="auto"/>
              <w:rPr>
                <w:rFonts w:cs="宋体" w:asciiTheme="minorEastAsia" w:hAnsiTheme="minorEastAsia"/>
                <w:sz w:val="18"/>
                <w:szCs w:val="18"/>
              </w:rPr>
            </w:pPr>
            <w:r>
              <w:rPr>
                <w:rFonts w:hint="eastAsia" w:cs="宋体" w:asciiTheme="minorEastAsia" w:hAnsiTheme="minorEastAsia"/>
                <w:sz w:val="18"/>
                <w:szCs w:val="18"/>
              </w:rPr>
              <w:t>七、</w:t>
            </w:r>
            <w:r>
              <w:rPr>
                <w:rFonts w:hint="eastAsia" w:cs="宋体" w:asciiTheme="minorEastAsia" w:hAnsiTheme="minorEastAsia"/>
                <w:color w:val="000000"/>
                <w:sz w:val="18"/>
                <w:szCs w:val="18"/>
              </w:rPr>
              <w:t>学生离校系统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2005" w:type="dxa"/>
            <w:gridSpan w:val="2"/>
            <w:vAlign w:val="center"/>
          </w:tcPr>
          <w:p>
            <w:pPr>
              <w:spacing w:line="360" w:lineRule="auto"/>
              <w:jc w:val="center"/>
              <w:rPr>
                <w:rFonts w:cs="宋体" w:asciiTheme="minorEastAsia" w:hAnsiTheme="minorEastAsia"/>
                <w:sz w:val="18"/>
                <w:szCs w:val="18"/>
              </w:rPr>
            </w:pPr>
            <w:r>
              <w:rPr>
                <w:rFonts w:hint="eastAsia" w:cs="宋体" w:asciiTheme="minorEastAsia" w:hAnsiTheme="minorEastAsia"/>
                <w:color w:val="000000"/>
                <w:sz w:val="18"/>
                <w:szCs w:val="18"/>
              </w:rPr>
              <w:t>学生离校系统</w:t>
            </w:r>
          </w:p>
        </w:tc>
        <w:tc>
          <w:tcPr>
            <w:tcW w:w="6674" w:type="dxa"/>
            <w:vAlign w:val="center"/>
          </w:tcPr>
          <w:p>
            <w:pPr>
              <w:spacing w:line="360" w:lineRule="auto"/>
              <w:rPr>
                <w:rFonts w:cs="宋体" w:asciiTheme="minorEastAsia" w:hAnsiTheme="minorEastAsia"/>
                <w:sz w:val="18"/>
                <w:szCs w:val="18"/>
              </w:rPr>
            </w:pPr>
            <w:r>
              <w:rPr>
                <w:rFonts w:hint="eastAsia" w:cs="宋体" w:asciiTheme="minorEastAsia" w:hAnsiTheme="minorEastAsia"/>
                <w:sz w:val="18"/>
                <w:szCs w:val="18"/>
              </w:rPr>
              <w:t>实现一站式离校，免去学生离校时各部门手动办理离校。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8679" w:type="dxa"/>
            <w:gridSpan w:val="3"/>
            <w:vAlign w:val="center"/>
          </w:tcPr>
          <w:p>
            <w:pPr>
              <w:spacing w:line="360" w:lineRule="auto"/>
              <w:rPr>
                <w:rFonts w:cs="宋体" w:asciiTheme="minorEastAsia" w:hAnsiTheme="minorEastAsia"/>
                <w:sz w:val="18"/>
                <w:szCs w:val="18"/>
              </w:rPr>
            </w:pPr>
            <w:r>
              <w:rPr>
                <w:rFonts w:hint="eastAsia" w:cs="宋体" w:asciiTheme="minorEastAsia" w:hAnsiTheme="minorEastAsia"/>
                <w:sz w:val="18"/>
                <w:szCs w:val="18"/>
              </w:rPr>
              <w:t>八、</w:t>
            </w:r>
            <w:r>
              <w:rPr>
                <w:rFonts w:hint="eastAsia" w:cs="宋体" w:asciiTheme="minorEastAsia" w:hAnsiTheme="minorEastAsia"/>
                <w:color w:val="000000"/>
                <w:sz w:val="18"/>
                <w:szCs w:val="18"/>
              </w:rPr>
              <w:t>上下课铃系统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2005" w:type="dxa"/>
            <w:gridSpan w:val="2"/>
            <w:vAlign w:val="center"/>
          </w:tcPr>
          <w:p>
            <w:pPr>
              <w:spacing w:line="360" w:lineRule="auto"/>
              <w:jc w:val="center"/>
              <w:rPr>
                <w:rFonts w:cs="宋体" w:asciiTheme="minorEastAsia" w:hAnsiTheme="minorEastAsia"/>
                <w:color w:val="000000"/>
                <w:sz w:val="18"/>
                <w:szCs w:val="18"/>
              </w:rPr>
            </w:pPr>
            <w:r>
              <w:rPr>
                <w:rFonts w:hint="eastAsia" w:cs="宋体" w:asciiTheme="minorEastAsia" w:hAnsiTheme="minorEastAsia"/>
                <w:color w:val="000000"/>
                <w:sz w:val="18"/>
                <w:szCs w:val="18"/>
              </w:rPr>
              <w:t>上下课铃系统</w:t>
            </w:r>
          </w:p>
        </w:tc>
        <w:tc>
          <w:tcPr>
            <w:tcW w:w="6674" w:type="dxa"/>
            <w:vAlign w:val="center"/>
          </w:tcPr>
          <w:p>
            <w:pPr>
              <w:spacing w:line="360" w:lineRule="auto"/>
              <w:rPr>
                <w:rFonts w:cs="宋体" w:asciiTheme="minorEastAsia" w:hAnsiTheme="minorEastAsia"/>
                <w:sz w:val="18"/>
                <w:szCs w:val="18"/>
              </w:rPr>
            </w:pPr>
            <w:r>
              <w:rPr>
                <w:rFonts w:hint="eastAsia" w:cs="宋体" w:asciiTheme="minorEastAsia" w:hAnsiTheme="minorEastAsia"/>
                <w:sz w:val="18"/>
                <w:szCs w:val="18"/>
              </w:rPr>
              <w:t>在雷锋校区综合实验教学楼和第二教学楼走廊部署上课铃管理系统；</w:t>
            </w:r>
          </w:p>
        </w:tc>
      </w:tr>
    </w:tbl>
    <w:p>
      <w:pPr>
        <w:pStyle w:val="5"/>
        <w:topLinePunct/>
        <w:autoSpaceDE w:val="0"/>
        <w:autoSpaceDN w:val="0"/>
        <w:adjustRightInd w:val="0"/>
        <w:snapToGrid w:val="0"/>
        <w:spacing w:line="360" w:lineRule="auto"/>
        <w:ind w:firstLine="420" w:firstLineChars="200"/>
        <w:textAlignment w:val="baseline"/>
        <w:rPr>
          <w:rFonts w:cs="宋体" w:asciiTheme="minorEastAsia" w:hAnsiTheme="minorEastAsia" w:eastAsiaTheme="minorEastAsia"/>
          <w:bCs/>
          <w:snapToGrid w:val="0"/>
          <w:sz w:val="21"/>
          <w:szCs w:val="21"/>
        </w:rPr>
      </w:pPr>
      <w:r>
        <w:rPr>
          <w:rFonts w:hint="eastAsia" w:cs="宋体" w:asciiTheme="minorEastAsia" w:hAnsiTheme="minorEastAsia" w:eastAsiaTheme="minorEastAsia"/>
          <w:bCs/>
          <w:snapToGrid w:val="0"/>
          <w:sz w:val="21"/>
          <w:szCs w:val="21"/>
        </w:rPr>
        <w:t>备注：1、以满足学生生活实际需求为目的，不得引发学生成片投诉，影响学校正常教学秩序，造成不良影响。</w:t>
      </w:r>
    </w:p>
    <w:p>
      <w:pPr>
        <w:widowControl/>
        <w:jc w:val="left"/>
        <w:rPr>
          <w:rFonts w:cs="宋体" w:asciiTheme="minorEastAsia" w:hAnsiTheme="minorEastAsia"/>
          <w:bCs/>
          <w:snapToGrid w:val="0"/>
          <w:kern w:val="0"/>
          <w:szCs w:val="21"/>
        </w:rPr>
      </w:pPr>
      <w:r>
        <w:rPr>
          <w:rFonts w:cs="宋体" w:asciiTheme="minorEastAsia" w:hAnsiTheme="minorEastAsia"/>
          <w:bCs/>
          <w:snapToGrid w:val="0"/>
          <w:szCs w:val="21"/>
        </w:rPr>
        <w:br w:type="page"/>
      </w:r>
    </w:p>
    <w:p>
      <w:pPr>
        <w:pStyle w:val="5"/>
        <w:topLinePunct/>
        <w:autoSpaceDE w:val="0"/>
        <w:autoSpaceDN w:val="0"/>
        <w:adjustRightInd w:val="0"/>
        <w:snapToGrid w:val="0"/>
        <w:spacing w:line="360" w:lineRule="auto"/>
        <w:textAlignment w:val="baseline"/>
        <w:rPr>
          <w:rFonts w:asciiTheme="minorEastAsia" w:hAnsiTheme="minorEastAsia" w:eastAsiaTheme="minorEastAsia"/>
          <w:b/>
          <w:sz w:val="28"/>
          <w:szCs w:val="28"/>
        </w:rPr>
      </w:pPr>
      <w:r>
        <w:rPr>
          <w:rFonts w:hint="eastAsia" w:asciiTheme="minorEastAsia" w:hAnsiTheme="minorEastAsia" w:eastAsiaTheme="minorEastAsia"/>
          <w:b/>
          <w:sz w:val="28"/>
          <w:szCs w:val="28"/>
        </w:rPr>
        <w:t>附件四</w:t>
      </w:r>
    </w:p>
    <w:p>
      <w:pPr>
        <w:pStyle w:val="5"/>
        <w:topLinePunct/>
        <w:autoSpaceDE w:val="0"/>
        <w:autoSpaceDN w:val="0"/>
        <w:adjustRightInd w:val="0"/>
        <w:snapToGrid w:val="0"/>
        <w:spacing w:line="360" w:lineRule="auto"/>
        <w:textAlignment w:val="baseline"/>
        <w:rPr>
          <w:rFonts w:asciiTheme="minorEastAsia" w:hAnsiTheme="minorEastAsia" w:eastAsiaTheme="minorEastAsia"/>
          <w:b/>
          <w:sz w:val="28"/>
          <w:szCs w:val="28"/>
        </w:rPr>
      </w:pPr>
    </w:p>
    <w:p>
      <w:pPr>
        <w:pStyle w:val="5"/>
        <w:topLinePunct/>
        <w:autoSpaceDE w:val="0"/>
        <w:autoSpaceDN w:val="0"/>
        <w:adjustRightInd w:val="0"/>
        <w:snapToGrid w:val="0"/>
        <w:spacing w:line="360" w:lineRule="auto"/>
        <w:jc w:val="center"/>
        <w:textAlignment w:val="baseline"/>
        <w:rPr>
          <w:rFonts w:asciiTheme="minorEastAsia" w:hAnsiTheme="minorEastAsia" w:eastAsiaTheme="minorEastAsia"/>
          <w:sz w:val="28"/>
          <w:szCs w:val="28"/>
        </w:rPr>
      </w:pPr>
      <w:r>
        <w:rPr>
          <w:rFonts w:hint="eastAsia" w:asciiTheme="minorEastAsia" w:hAnsiTheme="minorEastAsia" w:eastAsiaTheme="minorEastAsia"/>
          <w:sz w:val="28"/>
          <w:szCs w:val="28"/>
        </w:rPr>
        <w:t>主材品牌要求</w:t>
      </w:r>
    </w:p>
    <w:p>
      <w:pPr>
        <w:rPr>
          <w:rFonts w:cs="仿宋" w:asciiTheme="minorEastAsia" w:hAnsiTheme="minorEastAsia"/>
          <w:sz w:val="28"/>
          <w:szCs w:val="28"/>
        </w:rPr>
      </w:pPr>
    </w:p>
    <w:p>
      <w:pPr>
        <w:rPr>
          <w:rFonts w:cs="仿宋" w:asciiTheme="minorEastAsia" w:hAnsiTheme="minorEastAsia"/>
          <w:sz w:val="28"/>
          <w:szCs w:val="28"/>
        </w:rPr>
      </w:pPr>
      <w:r>
        <w:rPr>
          <w:rFonts w:hint="eastAsia" w:cs="仿宋" w:asciiTheme="minorEastAsia" w:hAnsiTheme="minorEastAsia"/>
          <w:sz w:val="28"/>
          <w:szCs w:val="28"/>
        </w:rPr>
        <w:t xml:space="preserve">1、商品砼：长沙本地产 </w:t>
      </w:r>
    </w:p>
    <w:p>
      <w:pPr>
        <w:rPr>
          <w:rFonts w:cs="仿宋" w:asciiTheme="minorEastAsia" w:hAnsiTheme="minorEastAsia"/>
          <w:sz w:val="28"/>
          <w:szCs w:val="28"/>
        </w:rPr>
      </w:pPr>
      <w:r>
        <w:rPr>
          <w:rFonts w:hint="eastAsia" w:cs="仿宋" w:asciiTheme="minorEastAsia" w:hAnsiTheme="minorEastAsia"/>
          <w:sz w:val="28"/>
          <w:szCs w:val="28"/>
        </w:rPr>
        <w:t xml:space="preserve">2、水泥： 散装或包装 牛力、印山台、兆山、慧安 </w:t>
      </w:r>
    </w:p>
    <w:p>
      <w:pPr>
        <w:rPr>
          <w:rFonts w:cs="仿宋" w:asciiTheme="minorEastAsia" w:hAnsiTheme="minorEastAsia"/>
          <w:sz w:val="28"/>
          <w:szCs w:val="28"/>
        </w:rPr>
      </w:pPr>
      <w:r>
        <w:rPr>
          <w:rFonts w:hint="eastAsia" w:cs="仿宋" w:asciiTheme="minorEastAsia" w:hAnsiTheme="minorEastAsia"/>
          <w:sz w:val="28"/>
          <w:szCs w:val="28"/>
        </w:rPr>
        <w:t xml:space="preserve">3、钢筋： 湘钢、涟钢、萍钢 </w:t>
      </w:r>
    </w:p>
    <w:p>
      <w:pPr>
        <w:rPr>
          <w:rFonts w:cs="仿宋" w:asciiTheme="minorEastAsia" w:hAnsiTheme="minorEastAsia"/>
          <w:sz w:val="28"/>
          <w:szCs w:val="28"/>
        </w:rPr>
      </w:pPr>
      <w:r>
        <w:rPr>
          <w:rFonts w:hint="eastAsia" w:cs="仿宋" w:asciiTheme="minorEastAsia" w:hAnsiTheme="minorEastAsia"/>
          <w:sz w:val="28"/>
          <w:szCs w:val="28"/>
        </w:rPr>
        <w:t xml:space="preserve">4、铝合金型材（表面为喷涂处理）： 振升、经阁、海大、凤铝、亚洲 </w:t>
      </w:r>
    </w:p>
    <w:p>
      <w:pPr>
        <w:rPr>
          <w:rFonts w:cs="仿宋" w:asciiTheme="minorEastAsia" w:hAnsiTheme="minorEastAsia"/>
          <w:sz w:val="28"/>
          <w:szCs w:val="28"/>
        </w:rPr>
      </w:pPr>
      <w:r>
        <w:rPr>
          <w:rFonts w:hint="eastAsia" w:cs="仿宋" w:asciiTheme="minorEastAsia" w:hAnsiTheme="minorEastAsia"/>
          <w:sz w:val="28"/>
          <w:szCs w:val="28"/>
        </w:rPr>
        <w:t xml:space="preserve">5、电线： 金杯、金龙、恒飞 </w:t>
      </w:r>
    </w:p>
    <w:p>
      <w:pPr>
        <w:rPr>
          <w:rFonts w:cs="仿宋" w:asciiTheme="minorEastAsia" w:hAnsiTheme="minorEastAsia"/>
          <w:sz w:val="28"/>
          <w:szCs w:val="28"/>
        </w:rPr>
      </w:pPr>
      <w:r>
        <w:rPr>
          <w:rFonts w:hint="eastAsia" w:cs="仿宋" w:asciiTheme="minorEastAsia" w:hAnsiTheme="minorEastAsia"/>
          <w:sz w:val="28"/>
          <w:szCs w:val="28"/>
        </w:rPr>
        <w:t xml:space="preserve">6、电缆： 金杯、金龙、恒飞 </w:t>
      </w:r>
    </w:p>
    <w:p>
      <w:pPr>
        <w:rPr>
          <w:rFonts w:cs="仿宋" w:asciiTheme="minorEastAsia" w:hAnsiTheme="minorEastAsia"/>
          <w:sz w:val="28"/>
          <w:szCs w:val="28"/>
        </w:rPr>
      </w:pPr>
      <w:r>
        <w:rPr>
          <w:rFonts w:hint="eastAsia" w:cs="仿宋" w:asciiTheme="minorEastAsia" w:hAnsiTheme="minorEastAsia"/>
          <w:sz w:val="28"/>
          <w:szCs w:val="28"/>
        </w:rPr>
        <w:t xml:space="preserve">7 、UPVC：中财、顾地、联塑 </w:t>
      </w:r>
    </w:p>
    <w:p>
      <w:pPr>
        <w:rPr>
          <w:rFonts w:cs="仿宋" w:asciiTheme="minorEastAsia" w:hAnsiTheme="minorEastAsia"/>
          <w:sz w:val="28"/>
          <w:szCs w:val="28"/>
        </w:rPr>
      </w:pPr>
      <w:r>
        <w:rPr>
          <w:rFonts w:hint="eastAsia" w:cs="仿宋" w:asciiTheme="minorEastAsia" w:hAnsiTheme="minorEastAsia"/>
          <w:sz w:val="28"/>
          <w:szCs w:val="28"/>
        </w:rPr>
        <w:t xml:space="preserve">8、双壁波纹排水管：顾地、航天康达、易达、天卓 </w:t>
      </w:r>
    </w:p>
    <w:p>
      <w:pPr>
        <w:rPr>
          <w:rFonts w:cs="仿宋" w:asciiTheme="minorEastAsia" w:hAnsiTheme="minorEastAsia"/>
          <w:sz w:val="28"/>
          <w:szCs w:val="28"/>
        </w:rPr>
      </w:pPr>
      <w:r>
        <w:rPr>
          <w:rFonts w:hint="eastAsia" w:cs="仿宋" w:asciiTheme="minorEastAsia" w:hAnsiTheme="minorEastAsia"/>
          <w:sz w:val="28"/>
          <w:szCs w:val="28"/>
        </w:rPr>
        <w:t xml:space="preserve">9、外墙漆：多乐士、立邦、振邦 </w:t>
      </w:r>
    </w:p>
    <w:p>
      <w:pPr>
        <w:rPr>
          <w:rFonts w:cs="仿宋" w:asciiTheme="minorEastAsia" w:hAnsiTheme="minorEastAsia"/>
          <w:sz w:val="28"/>
          <w:szCs w:val="28"/>
        </w:rPr>
      </w:pPr>
      <w:r>
        <w:rPr>
          <w:rFonts w:hint="eastAsia" w:cs="仿宋" w:asciiTheme="minorEastAsia" w:hAnsiTheme="minorEastAsia"/>
          <w:sz w:val="28"/>
          <w:szCs w:val="28"/>
        </w:rPr>
        <w:t xml:space="preserve">10、灯具：TCL、飞利浦、三雄极光 </w:t>
      </w:r>
    </w:p>
    <w:p>
      <w:pPr>
        <w:rPr>
          <w:rFonts w:cs="仿宋" w:asciiTheme="minorEastAsia" w:hAnsiTheme="minorEastAsia"/>
          <w:sz w:val="28"/>
          <w:szCs w:val="28"/>
        </w:rPr>
      </w:pPr>
      <w:r>
        <w:rPr>
          <w:rFonts w:hint="eastAsia" w:cs="仿宋" w:asciiTheme="minorEastAsia" w:hAnsiTheme="minorEastAsia"/>
          <w:sz w:val="28"/>
          <w:szCs w:val="28"/>
        </w:rPr>
        <w:t>11、开关插座：TCL、西门子、西蒙</w:t>
      </w:r>
    </w:p>
    <w:p>
      <w:pPr>
        <w:rPr>
          <w:rFonts w:cs="仿宋" w:asciiTheme="minorEastAsia" w:hAnsiTheme="minorEastAsia"/>
          <w:sz w:val="28"/>
          <w:szCs w:val="28"/>
        </w:rPr>
      </w:pPr>
      <w:r>
        <w:rPr>
          <w:rFonts w:hint="eastAsia" w:cs="仿宋" w:asciiTheme="minorEastAsia" w:hAnsiTheme="minorEastAsia"/>
          <w:sz w:val="28"/>
          <w:szCs w:val="28"/>
        </w:rPr>
        <w:t>12、教室木门：广千木门、樱花豪门、盼盼</w:t>
      </w:r>
    </w:p>
    <w:p>
      <w:pPr>
        <w:rPr>
          <w:rFonts w:cs="仿宋" w:asciiTheme="minorEastAsia" w:hAnsiTheme="minorEastAsia"/>
          <w:sz w:val="28"/>
          <w:szCs w:val="28"/>
        </w:rPr>
      </w:pPr>
      <w:r>
        <w:rPr>
          <w:rFonts w:hint="eastAsia" w:cs="仿宋" w:asciiTheme="minorEastAsia" w:hAnsiTheme="minorEastAsia"/>
          <w:sz w:val="28"/>
          <w:szCs w:val="28"/>
        </w:rPr>
        <w:t>13、寝室防盗门：王力、星月神、盼盼</w:t>
      </w:r>
    </w:p>
    <w:p>
      <w:pPr>
        <w:rPr>
          <w:rFonts w:asciiTheme="minorEastAsia" w:hAnsiTheme="minorEastAsia"/>
          <w:sz w:val="28"/>
          <w:szCs w:val="28"/>
        </w:rPr>
      </w:pPr>
      <w:r>
        <w:rPr>
          <w:rFonts w:hint="eastAsia" w:cs="仿宋" w:asciiTheme="minorEastAsia" w:hAnsiTheme="minorEastAsia"/>
          <w:sz w:val="28"/>
          <w:szCs w:val="28"/>
        </w:rPr>
        <w:t>14、水龙头：九牧、法恩莎、箭牌</w:t>
      </w:r>
      <w:bookmarkStart w:id="5" w:name="_GoBack"/>
      <w:bookmarkEnd w:id="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27788216"/>
      <w:docPartObj>
        <w:docPartGallery w:val="AutoText"/>
      </w:docPartObj>
    </w:sdtPr>
    <w:sdtContent>
      <w:p>
        <w:pPr>
          <w:pStyle w:val="8"/>
          <w:jc w:val="center"/>
        </w:pPr>
        <w:r>
          <w:fldChar w:fldCharType="begin"/>
        </w:r>
        <w:r>
          <w:instrText xml:space="preserve">PAGE   \* MERGEFORMAT</w:instrText>
        </w:r>
        <w:r>
          <w:fldChar w:fldCharType="separate"/>
        </w:r>
        <w:r>
          <w:rPr>
            <w:lang w:val="zh-CN"/>
          </w:rPr>
          <w:t>27</w:t>
        </w:r>
        <w:r>
          <w:fldChar w:fldCharType="end"/>
        </w:r>
      </w:p>
    </w:sdtContent>
  </w:sdt>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335970A"/>
    <w:multiLevelType w:val="singleLevel"/>
    <w:tmpl w:val="A335970A"/>
    <w:lvl w:ilvl="0" w:tentative="0">
      <w:start w:val="2"/>
      <w:numFmt w:val="chineseCounting"/>
      <w:suff w:val="nothing"/>
      <w:lvlText w:val="（%1）"/>
      <w:lvlJc w:val="left"/>
      <w:rPr>
        <w:rFonts w:hint="eastAsia"/>
      </w:rPr>
    </w:lvl>
  </w:abstractNum>
  <w:abstractNum w:abstractNumId="1">
    <w:nsid w:val="01455E56"/>
    <w:multiLevelType w:val="multilevel"/>
    <w:tmpl w:val="01455E5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40E584D"/>
    <w:multiLevelType w:val="multilevel"/>
    <w:tmpl w:val="240E584D"/>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7E75015"/>
    <w:multiLevelType w:val="multilevel"/>
    <w:tmpl w:val="37E7501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F0A30DA"/>
    <w:multiLevelType w:val="multilevel"/>
    <w:tmpl w:val="3F0A30D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52776BC1"/>
    <w:multiLevelType w:val="multilevel"/>
    <w:tmpl w:val="52776BC1"/>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67AF7423"/>
    <w:multiLevelType w:val="multilevel"/>
    <w:tmpl w:val="67AF742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6"/>
  </w:num>
  <w:num w:numId="4">
    <w:abstractNumId w:val="3"/>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5CA8"/>
    <w:rsid w:val="00004C82"/>
    <w:rsid w:val="0001139C"/>
    <w:rsid w:val="0005715B"/>
    <w:rsid w:val="000676B1"/>
    <w:rsid w:val="00080684"/>
    <w:rsid w:val="000817B0"/>
    <w:rsid w:val="0009048B"/>
    <w:rsid w:val="000E7007"/>
    <w:rsid w:val="000F6AE9"/>
    <w:rsid w:val="001153A0"/>
    <w:rsid w:val="00143887"/>
    <w:rsid w:val="001611BD"/>
    <w:rsid w:val="00161EF6"/>
    <w:rsid w:val="00173A23"/>
    <w:rsid w:val="001C3EBD"/>
    <w:rsid w:val="001C5EDB"/>
    <w:rsid w:val="001D113E"/>
    <w:rsid w:val="001F04F5"/>
    <w:rsid w:val="0029253B"/>
    <w:rsid w:val="002A632E"/>
    <w:rsid w:val="002B179C"/>
    <w:rsid w:val="002D15C8"/>
    <w:rsid w:val="002E24EE"/>
    <w:rsid w:val="00323A4D"/>
    <w:rsid w:val="0033026A"/>
    <w:rsid w:val="00341B25"/>
    <w:rsid w:val="00346014"/>
    <w:rsid w:val="0035236E"/>
    <w:rsid w:val="00365668"/>
    <w:rsid w:val="0037018A"/>
    <w:rsid w:val="00372FED"/>
    <w:rsid w:val="0037674D"/>
    <w:rsid w:val="00390B8F"/>
    <w:rsid w:val="003B40AA"/>
    <w:rsid w:val="003E1B71"/>
    <w:rsid w:val="003E7CDB"/>
    <w:rsid w:val="003E7D99"/>
    <w:rsid w:val="004531D6"/>
    <w:rsid w:val="00457A3C"/>
    <w:rsid w:val="0046125A"/>
    <w:rsid w:val="00467A3D"/>
    <w:rsid w:val="004818B7"/>
    <w:rsid w:val="004C53F5"/>
    <w:rsid w:val="004C7416"/>
    <w:rsid w:val="004E542F"/>
    <w:rsid w:val="004F1CAC"/>
    <w:rsid w:val="005235FD"/>
    <w:rsid w:val="00527AD9"/>
    <w:rsid w:val="00547AD3"/>
    <w:rsid w:val="00557A53"/>
    <w:rsid w:val="005604D8"/>
    <w:rsid w:val="00563E71"/>
    <w:rsid w:val="005A7369"/>
    <w:rsid w:val="005B282F"/>
    <w:rsid w:val="005C18A4"/>
    <w:rsid w:val="005D064D"/>
    <w:rsid w:val="006113C7"/>
    <w:rsid w:val="00627547"/>
    <w:rsid w:val="00673925"/>
    <w:rsid w:val="006A3264"/>
    <w:rsid w:val="006C0494"/>
    <w:rsid w:val="006C35BD"/>
    <w:rsid w:val="006C7C12"/>
    <w:rsid w:val="006D1B87"/>
    <w:rsid w:val="006D52C4"/>
    <w:rsid w:val="006E0269"/>
    <w:rsid w:val="00710EA8"/>
    <w:rsid w:val="007116A1"/>
    <w:rsid w:val="00730EC0"/>
    <w:rsid w:val="00742808"/>
    <w:rsid w:val="00753AFB"/>
    <w:rsid w:val="00756EA6"/>
    <w:rsid w:val="00766330"/>
    <w:rsid w:val="00791763"/>
    <w:rsid w:val="007A1705"/>
    <w:rsid w:val="007E2D56"/>
    <w:rsid w:val="007E45B7"/>
    <w:rsid w:val="007F0750"/>
    <w:rsid w:val="007F2724"/>
    <w:rsid w:val="00820043"/>
    <w:rsid w:val="00827F58"/>
    <w:rsid w:val="00857772"/>
    <w:rsid w:val="00883988"/>
    <w:rsid w:val="00892CF1"/>
    <w:rsid w:val="0089327B"/>
    <w:rsid w:val="00896952"/>
    <w:rsid w:val="008A15DE"/>
    <w:rsid w:val="008B7489"/>
    <w:rsid w:val="008C0277"/>
    <w:rsid w:val="008D21C3"/>
    <w:rsid w:val="008D5CA8"/>
    <w:rsid w:val="008E2F9C"/>
    <w:rsid w:val="009002CB"/>
    <w:rsid w:val="00903732"/>
    <w:rsid w:val="009300E9"/>
    <w:rsid w:val="00960E3E"/>
    <w:rsid w:val="0096263C"/>
    <w:rsid w:val="00975DC7"/>
    <w:rsid w:val="009778EF"/>
    <w:rsid w:val="0098335C"/>
    <w:rsid w:val="00993C1E"/>
    <w:rsid w:val="009A172B"/>
    <w:rsid w:val="009A6A94"/>
    <w:rsid w:val="009C7A3D"/>
    <w:rsid w:val="009F4ABA"/>
    <w:rsid w:val="00A3052F"/>
    <w:rsid w:val="00A4355B"/>
    <w:rsid w:val="00A52316"/>
    <w:rsid w:val="00A70737"/>
    <w:rsid w:val="00A811FC"/>
    <w:rsid w:val="00A96C8E"/>
    <w:rsid w:val="00B07F4C"/>
    <w:rsid w:val="00B11872"/>
    <w:rsid w:val="00B123D5"/>
    <w:rsid w:val="00B32D85"/>
    <w:rsid w:val="00B563F7"/>
    <w:rsid w:val="00B64402"/>
    <w:rsid w:val="00B72C98"/>
    <w:rsid w:val="00B8304D"/>
    <w:rsid w:val="00B83497"/>
    <w:rsid w:val="00BC14BE"/>
    <w:rsid w:val="00BC4774"/>
    <w:rsid w:val="00C24D99"/>
    <w:rsid w:val="00C30B15"/>
    <w:rsid w:val="00C351F1"/>
    <w:rsid w:val="00C533C8"/>
    <w:rsid w:val="00C57F50"/>
    <w:rsid w:val="00C64347"/>
    <w:rsid w:val="00C72445"/>
    <w:rsid w:val="00C76196"/>
    <w:rsid w:val="00C8279C"/>
    <w:rsid w:val="00CA2D62"/>
    <w:rsid w:val="00CC7EF1"/>
    <w:rsid w:val="00CD0614"/>
    <w:rsid w:val="00CD10D1"/>
    <w:rsid w:val="00CE34BB"/>
    <w:rsid w:val="00CE620D"/>
    <w:rsid w:val="00D109E3"/>
    <w:rsid w:val="00D121ED"/>
    <w:rsid w:val="00D1503D"/>
    <w:rsid w:val="00D23269"/>
    <w:rsid w:val="00D53844"/>
    <w:rsid w:val="00D56017"/>
    <w:rsid w:val="00D7362E"/>
    <w:rsid w:val="00D7517F"/>
    <w:rsid w:val="00D87E46"/>
    <w:rsid w:val="00DA7CCA"/>
    <w:rsid w:val="00DB4A19"/>
    <w:rsid w:val="00DF0DB3"/>
    <w:rsid w:val="00E253F6"/>
    <w:rsid w:val="00E32A6D"/>
    <w:rsid w:val="00E46CD8"/>
    <w:rsid w:val="00E65DEB"/>
    <w:rsid w:val="00E763C1"/>
    <w:rsid w:val="00E8342E"/>
    <w:rsid w:val="00E92BE5"/>
    <w:rsid w:val="00EA05DF"/>
    <w:rsid w:val="00ED10B2"/>
    <w:rsid w:val="00EE064F"/>
    <w:rsid w:val="00F139DD"/>
    <w:rsid w:val="00F14A14"/>
    <w:rsid w:val="00F16AFF"/>
    <w:rsid w:val="00F4185C"/>
    <w:rsid w:val="00F813F3"/>
    <w:rsid w:val="00FC479C"/>
    <w:rsid w:val="00FD3655"/>
    <w:rsid w:val="00FD6F55"/>
    <w:rsid w:val="00FE5112"/>
    <w:rsid w:val="00FE6B98"/>
    <w:rsid w:val="56B956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6"/>
    <w:qFormat/>
    <w:uiPriority w:val="9"/>
    <w:pPr>
      <w:keepNext/>
      <w:keepLines/>
      <w:spacing w:before="340" w:after="330" w:line="578" w:lineRule="auto"/>
      <w:outlineLvl w:val="0"/>
    </w:pPr>
    <w:rPr>
      <w:rFonts w:ascii="Times New Roman" w:hAnsi="Times New Roman" w:eastAsia="宋体" w:cs="Times New Roman"/>
      <w:b/>
      <w:bCs/>
      <w:kern w:val="44"/>
      <w:sz w:val="44"/>
      <w:szCs w:val="44"/>
    </w:rPr>
  </w:style>
  <w:style w:type="paragraph" w:styleId="3">
    <w:name w:val="heading 2"/>
    <w:basedOn w:val="1"/>
    <w:next w:val="1"/>
    <w:link w:val="2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7"/>
    <w:unhideWhenUsed/>
    <w:qFormat/>
    <w:uiPriority w:val="9"/>
    <w:pPr>
      <w:spacing w:beforeAutospacing="1" w:afterAutospacing="1"/>
      <w:jc w:val="left"/>
      <w:outlineLvl w:val="2"/>
    </w:pPr>
    <w:rPr>
      <w:rFonts w:hint="eastAsia" w:ascii="宋体" w:hAnsi="宋体" w:eastAsia="宋体" w:cs="Times New Roman"/>
      <w:b/>
      <w:kern w:val="0"/>
      <w:sz w:val="27"/>
      <w:szCs w:val="27"/>
    </w:rPr>
  </w:style>
  <w:style w:type="character" w:default="1" w:styleId="12">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5">
    <w:name w:val="Plain Text"/>
    <w:basedOn w:val="1"/>
    <w:link w:val="22"/>
    <w:qFormat/>
    <w:uiPriority w:val="0"/>
    <w:rPr>
      <w:rFonts w:ascii="宋体" w:hAnsi="Calibri" w:eastAsia="宋体" w:cs="Times New Roman"/>
      <w:kern w:val="0"/>
      <w:sz w:val="20"/>
      <w:szCs w:val="20"/>
    </w:rPr>
  </w:style>
  <w:style w:type="paragraph" w:styleId="6">
    <w:name w:val="Body Text Indent 2"/>
    <w:basedOn w:val="1"/>
    <w:link w:val="13"/>
    <w:unhideWhenUsed/>
    <w:qFormat/>
    <w:uiPriority w:val="99"/>
    <w:pPr>
      <w:spacing w:after="120" w:line="480" w:lineRule="auto"/>
      <w:ind w:left="420" w:leftChars="200"/>
    </w:pPr>
    <w:rPr>
      <w:rFonts w:ascii="Calibri" w:hAnsi="Calibri" w:eastAsia="宋体" w:cs="Times New Roman"/>
      <w:szCs w:val="24"/>
    </w:rPr>
  </w:style>
  <w:style w:type="paragraph" w:styleId="7">
    <w:name w:val="Balloon Text"/>
    <w:basedOn w:val="1"/>
    <w:link w:val="20"/>
    <w:semiHidden/>
    <w:unhideWhenUsed/>
    <w:qFormat/>
    <w:uiPriority w:val="99"/>
    <w:rPr>
      <w:sz w:val="18"/>
      <w:szCs w:val="18"/>
    </w:rPr>
  </w:style>
  <w:style w:type="paragraph" w:styleId="8">
    <w:name w:val="footer"/>
    <w:basedOn w:val="1"/>
    <w:link w:val="19"/>
    <w:unhideWhenUsed/>
    <w:uiPriority w:val="99"/>
    <w:pPr>
      <w:tabs>
        <w:tab w:val="center" w:pos="4153"/>
        <w:tab w:val="right" w:pos="8306"/>
      </w:tabs>
      <w:snapToGrid w:val="0"/>
      <w:jc w:val="left"/>
    </w:pPr>
    <w:rPr>
      <w:sz w:val="18"/>
      <w:szCs w:val="18"/>
    </w:rPr>
  </w:style>
  <w:style w:type="paragraph" w:styleId="9">
    <w:name w:val="header"/>
    <w:basedOn w:val="1"/>
    <w:link w:val="18"/>
    <w:unhideWhenUsed/>
    <w:uiPriority w:val="99"/>
    <w:pPr>
      <w:pBdr>
        <w:bottom w:val="single" w:color="auto" w:sz="6" w:space="1"/>
      </w:pBdr>
      <w:tabs>
        <w:tab w:val="center" w:pos="4153"/>
        <w:tab w:val="right" w:pos="8306"/>
      </w:tabs>
      <w:snapToGrid w:val="0"/>
      <w:jc w:val="center"/>
    </w:pPr>
    <w:rPr>
      <w:sz w:val="18"/>
      <w:szCs w:val="18"/>
    </w:rPr>
  </w:style>
  <w:style w:type="paragraph" w:styleId="10">
    <w:name w:val="Title"/>
    <w:basedOn w:val="1"/>
    <w:next w:val="1"/>
    <w:link w:val="14"/>
    <w:qFormat/>
    <w:uiPriority w:val="0"/>
    <w:pPr>
      <w:spacing w:before="240" w:after="60"/>
      <w:jc w:val="left"/>
      <w:outlineLvl w:val="0"/>
    </w:pPr>
    <w:rPr>
      <w:rFonts w:ascii="Cambria" w:hAnsi="Cambria" w:cs="Times New Roman"/>
      <w:b/>
      <w:bCs/>
      <w:sz w:val="32"/>
      <w:szCs w:val="32"/>
    </w:rPr>
  </w:style>
  <w:style w:type="character" w:customStyle="1" w:styleId="13">
    <w:name w:val="正文文本缩进 2 Char"/>
    <w:basedOn w:val="12"/>
    <w:link w:val="6"/>
    <w:qFormat/>
    <w:uiPriority w:val="99"/>
    <w:rPr>
      <w:rFonts w:ascii="Calibri" w:hAnsi="Calibri" w:eastAsia="宋体" w:cs="Times New Roman"/>
      <w:szCs w:val="24"/>
    </w:rPr>
  </w:style>
  <w:style w:type="character" w:customStyle="1" w:styleId="14">
    <w:name w:val="标题 Char"/>
    <w:basedOn w:val="12"/>
    <w:link w:val="10"/>
    <w:qFormat/>
    <w:uiPriority w:val="0"/>
    <w:rPr>
      <w:rFonts w:ascii="Cambria" w:hAnsi="Cambria" w:cs="Times New Roman"/>
      <w:b/>
      <w:bCs/>
      <w:sz w:val="32"/>
      <w:szCs w:val="32"/>
    </w:rPr>
  </w:style>
  <w:style w:type="paragraph" w:styleId="15">
    <w:name w:val="List Paragraph"/>
    <w:basedOn w:val="1"/>
    <w:qFormat/>
    <w:uiPriority w:val="0"/>
    <w:pPr>
      <w:ind w:firstLine="420" w:firstLineChars="200"/>
    </w:pPr>
    <w:rPr>
      <w:rFonts w:ascii="Calibri" w:hAnsi="Calibri" w:eastAsia="宋体" w:cs="Times New Roman"/>
    </w:rPr>
  </w:style>
  <w:style w:type="character" w:customStyle="1" w:styleId="16">
    <w:name w:val="标题 1 Char"/>
    <w:basedOn w:val="12"/>
    <w:link w:val="2"/>
    <w:qFormat/>
    <w:uiPriority w:val="9"/>
    <w:rPr>
      <w:rFonts w:ascii="Times New Roman" w:hAnsi="Times New Roman" w:eastAsia="宋体" w:cs="Times New Roman"/>
      <w:b/>
      <w:bCs/>
      <w:kern w:val="44"/>
      <w:sz w:val="44"/>
      <w:szCs w:val="44"/>
    </w:rPr>
  </w:style>
  <w:style w:type="character" w:customStyle="1" w:styleId="17">
    <w:name w:val="标题 3 Char"/>
    <w:basedOn w:val="12"/>
    <w:link w:val="4"/>
    <w:qFormat/>
    <w:uiPriority w:val="9"/>
    <w:rPr>
      <w:rFonts w:ascii="宋体" w:hAnsi="宋体" w:eastAsia="宋体" w:cs="Times New Roman"/>
      <w:b/>
      <w:kern w:val="0"/>
      <w:sz w:val="27"/>
      <w:szCs w:val="27"/>
    </w:rPr>
  </w:style>
  <w:style w:type="character" w:customStyle="1" w:styleId="18">
    <w:name w:val="页眉 Char"/>
    <w:basedOn w:val="12"/>
    <w:link w:val="9"/>
    <w:uiPriority w:val="99"/>
    <w:rPr>
      <w:sz w:val="18"/>
      <w:szCs w:val="18"/>
    </w:rPr>
  </w:style>
  <w:style w:type="character" w:customStyle="1" w:styleId="19">
    <w:name w:val="页脚 Char"/>
    <w:basedOn w:val="12"/>
    <w:link w:val="8"/>
    <w:qFormat/>
    <w:uiPriority w:val="99"/>
    <w:rPr>
      <w:sz w:val="18"/>
      <w:szCs w:val="18"/>
    </w:rPr>
  </w:style>
  <w:style w:type="character" w:customStyle="1" w:styleId="20">
    <w:name w:val="批注框文本 Char"/>
    <w:basedOn w:val="12"/>
    <w:link w:val="7"/>
    <w:semiHidden/>
    <w:qFormat/>
    <w:uiPriority w:val="99"/>
    <w:rPr>
      <w:sz w:val="18"/>
      <w:szCs w:val="18"/>
    </w:rPr>
  </w:style>
  <w:style w:type="character" w:customStyle="1" w:styleId="21">
    <w:name w:val="标题 2 Char"/>
    <w:basedOn w:val="12"/>
    <w:link w:val="3"/>
    <w:semiHidden/>
    <w:uiPriority w:val="9"/>
    <w:rPr>
      <w:rFonts w:asciiTheme="majorHAnsi" w:hAnsiTheme="majorHAnsi" w:eastAsiaTheme="majorEastAsia" w:cstheme="majorBidi"/>
      <w:b/>
      <w:bCs/>
      <w:sz w:val="32"/>
      <w:szCs w:val="32"/>
    </w:rPr>
  </w:style>
  <w:style w:type="character" w:customStyle="1" w:styleId="22">
    <w:name w:val="纯文本 Char"/>
    <w:basedOn w:val="12"/>
    <w:link w:val="5"/>
    <w:uiPriority w:val="0"/>
    <w:rPr>
      <w:rFonts w:ascii="宋体" w:hAnsi="Calibri" w:eastAsia="宋体" w:cs="Times New Roman"/>
      <w:kern w:val="0"/>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2378</Words>
  <Characters>13561</Characters>
  <Lines>113</Lines>
  <Paragraphs>31</Paragraphs>
  <TotalTime>1106</TotalTime>
  <ScaleCrop>false</ScaleCrop>
  <LinksUpToDate>false</LinksUpToDate>
  <CharactersWithSpaces>15908</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2021-01-04T12:45:00Z</dcterms:created>
  <dc:creator>hcj</dc:creator>
  <cp:lastModifiedBy>江湖</cp:lastModifiedBy>
  <cp:lastPrinted>2021-01-08T04:16:00Z</cp:lastPrinted>
  <dcterms:modified xsi:type="dcterms:W3CDTF">2021-01-14T11:09:22Z</dcterms:modified>
  <cp:revision>209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